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F270A8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58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F270A8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58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Acapantzingo</w:t>
      </w:r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Tlaltenango.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>Representante del Instituto Estatal Electoral del Estado, Carlos Facundo Jaimes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>I.- Acapantzingo</w:t>
      </w:r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Tlaltenango.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lastRenderedPageBreak/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 xml:space="preserve">, se recibieron las solicitudes de registro de los aspirantes a candidatos a Ayudante Municipal del Poblado de </w:t>
      </w:r>
      <w:r w:rsidR="007A03BD">
        <w:rPr>
          <w:rFonts w:eastAsia="Gulim"/>
        </w:rPr>
        <w:t>Amatitlán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F0571" w:rsidRPr="00AF7B4B" w:rsidRDefault="00EF0571" w:rsidP="00EF057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RODRIGO ASAEL QUINTANA AVALOS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GABRIELA ZAMORA SILVA</w:t>
            </w:r>
          </w:p>
        </w:tc>
      </w:tr>
      <w:tr w:rsidR="00D77651" w:rsidRPr="00AF7B4B" w:rsidTr="00B5376D">
        <w:trPr>
          <w:trHeight w:val="42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FIDEL ANTONIO MARTÍNEZ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7A03BD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RICARDO PEGUEROS GARCÍA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proofErr w:type="gramStart"/>
      <w:r w:rsidRPr="00AF7B4B">
        <w:rPr>
          <w:rFonts w:eastAsia="Gulim"/>
        </w:rPr>
        <w:t>Que</w:t>
      </w:r>
      <w:proofErr w:type="gramEnd"/>
      <w:r w:rsidRPr="00AF7B4B">
        <w:rPr>
          <w:rFonts w:eastAsia="Gulim"/>
        </w:rPr>
        <w:t xml:space="preserve"> para el Poblado de </w:t>
      </w:r>
      <w:r w:rsidR="007A03BD">
        <w:rPr>
          <w:rFonts w:eastAsia="Gulim"/>
        </w:rPr>
        <w:t>Amatitlán</w:t>
      </w:r>
      <w:r w:rsidRPr="00AF7B4B">
        <w:rPr>
          <w:rFonts w:eastAsia="Gulim"/>
        </w:rPr>
        <w:t xml:space="preserve">, se elaboraron </w:t>
      </w:r>
      <w:r w:rsidR="007A03BD">
        <w:rPr>
          <w:rFonts w:eastAsia="Gulim"/>
        </w:rPr>
        <w:t>mil quinientas boletas</w:t>
      </w:r>
      <w:r w:rsidR="00EF0571">
        <w:rPr>
          <w:rFonts w:eastAsia="Gulim"/>
        </w:rPr>
        <w:t>.</w:t>
      </w:r>
    </w:p>
    <w:p w:rsidR="00EF0571" w:rsidRPr="00AF7B4B" w:rsidRDefault="00EF057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EF0571">
        <w:rPr>
          <w:rFonts w:eastAsia="Gulim"/>
        </w:rPr>
        <w:t>Que por Acuerdo de la Junta Electoral Municipal, a fin de que el ej</w:t>
      </w:r>
      <w:r w:rsidR="000B2105" w:rsidRPr="00EF0571">
        <w:rPr>
          <w:rFonts w:eastAsia="Gulim"/>
        </w:rPr>
        <w:t>ercicio democrático llevado</w:t>
      </w:r>
      <w:r w:rsidRPr="00EF0571">
        <w:rPr>
          <w:rFonts w:eastAsia="Gulim"/>
        </w:rPr>
        <w:t xml:space="preserve"> a cabo el día </w:t>
      </w:r>
      <w:r w:rsidR="000B2105" w:rsidRPr="00EF0571">
        <w:rPr>
          <w:rFonts w:eastAsia="Gulim"/>
        </w:rPr>
        <w:t>20</w:t>
      </w:r>
      <w:r w:rsidRPr="00EF0571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EF0571">
        <w:rPr>
          <w:rFonts w:eastAsia="Gulim"/>
        </w:rPr>
        <w:t>22-2024</w:t>
      </w:r>
      <w:r w:rsidRPr="00EF0571">
        <w:rPr>
          <w:rFonts w:eastAsia="Gulim"/>
        </w:rPr>
        <w:t>, convocó a los habitantes del Municipio de Cuernavaca que desearan participar en calidad de Observadores ciudadanos en dicha elección</w:t>
      </w:r>
      <w:r w:rsidR="00EF0571" w:rsidRPr="00EF0571">
        <w:rPr>
          <w:rFonts w:eastAsia="Gulim"/>
        </w:rPr>
        <w:t>,</w:t>
      </w:r>
      <w:r w:rsidRPr="00EF0571">
        <w:rPr>
          <w:rFonts w:eastAsia="Gulim"/>
        </w:rPr>
        <w:t xml:space="preserve"> 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>nicipal, nombró como presidenta de la mesa receptora del voto, a la servidora pública siguiente</w:t>
      </w:r>
      <w:r w:rsidRPr="00AF7B4B">
        <w:rPr>
          <w:rFonts w:eastAsia="Gulim"/>
        </w:rPr>
        <w:t>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0" w:type="auto"/>
        <w:tblInd w:w="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940CB3" w:rsidRPr="00AF7B4B" w:rsidTr="00940CB3">
        <w:tc>
          <w:tcPr>
            <w:tcW w:w="4140" w:type="dxa"/>
          </w:tcPr>
          <w:p w:rsidR="00940CB3" w:rsidRPr="00AF7B4B" w:rsidRDefault="00940CB3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</w:tr>
      <w:tr w:rsidR="00940CB3" w:rsidRPr="00AF7B4B" w:rsidTr="00940CB3">
        <w:tc>
          <w:tcPr>
            <w:tcW w:w="4140" w:type="dxa"/>
          </w:tcPr>
          <w:p w:rsidR="00940CB3" w:rsidRPr="00AF7B4B" w:rsidRDefault="00940CB3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 xml:space="preserve">ROSA ELISA ROJAS GÓMEZ 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940CB3">
        <w:rPr>
          <w:rFonts w:eastAsia="Gulim"/>
        </w:rPr>
        <w:t>l, en donde se hizo entrega a la Presidenta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 xml:space="preserve">lizaría en la instalación de la mesa receptora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 xml:space="preserve">do en la Convocatoria, </w:t>
      </w:r>
      <w:r w:rsidR="00EF0571">
        <w:rPr>
          <w:rFonts w:eastAsia="Gulim"/>
        </w:rPr>
        <w:t>la mesa receptora de votos fue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5"/>
        <w:gridCol w:w="4712"/>
      </w:tblGrid>
      <w:tr w:rsidR="00D77651" w:rsidRPr="00AF7B4B" w:rsidTr="00940CB3">
        <w:tc>
          <w:tcPr>
            <w:tcW w:w="2239" w:type="pct"/>
            <w:gridSpan w:val="2"/>
            <w:tcBorders>
              <w:right w:val="nil"/>
            </w:tcBorders>
          </w:tcPr>
          <w:p w:rsidR="00D77651" w:rsidRPr="00AF7B4B" w:rsidRDefault="00D77651" w:rsidP="001B493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2F1F14"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940CB3">
              <w:rPr>
                <w:rFonts w:eastAsia="Gulim"/>
                <w:b/>
                <w:sz w:val="20"/>
                <w:szCs w:val="20"/>
              </w:rPr>
              <w:t>AMATITLAN</w:t>
            </w:r>
          </w:p>
        </w:tc>
        <w:tc>
          <w:tcPr>
            <w:tcW w:w="2761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18:54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</w:p>
        </w:tc>
      </w:tr>
      <w:tr w:rsidR="00D77651" w:rsidRPr="00AF7B4B" w:rsidTr="00940CB3">
        <w:tc>
          <w:tcPr>
            <w:tcW w:w="1392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847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76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940CB3" w:rsidRPr="00AF7B4B" w:rsidTr="00940CB3">
        <w:tc>
          <w:tcPr>
            <w:tcW w:w="1392" w:type="pct"/>
          </w:tcPr>
          <w:p w:rsidR="00940CB3" w:rsidRDefault="00940CB3" w:rsidP="00940CB3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847" w:type="pct"/>
          </w:tcPr>
          <w:p w:rsidR="00940CB3" w:rsidRDefault="00940CB3" w:rsidP="00940CB3">
            <w:pPr>
              <w:pStyle w:val="TableParagraph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534</w:t>
            </w:r>
          </w:p>
        </w:tc>
        <w:tc>
          <w:tcPr>
            <w:tcW w:w="2761" w:type="pct"/>
          </w:tcPr>
          <w:p w:rsidR="00940CB3" w:rsidRDefault="00940CB3" w:rsidP="00940CB3">
            <w:pPr>
              <w:pStyle w:val="TableParagraph"/>
              <w:ind w:left="1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Quinientos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treinta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940CB3" w:rsidRPr="00AF7B4B" w:rsidTr="00940CB3">
        <w:tc>
          <w:tcPr>
            <w:tcW w:w="1392" w:type="pct"/>
          </w:tcPr>
          <w:p w:rsidR="00940CB3" w:rsidRDefault="00940CB3" w:rsidP="00940CB3">
            <w:pPr>
              <w:pStyle w:val="TableParagraph"/>
              <w:spacing w:line="208" w:lineRule="exact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847" w:type="pct"/>
          </w:tcPr>
          <w:p w:rsidR="00940CB3" w:rsidRDefault="00940CB3" w:rsidP="00940CB3">
            <w:pPr>
              <w:pStyle w:val="TableParagraph"/>
              <w:spacing w:line="208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247</w:t>
            </w:r>
          </w:p>
        </w:tc>
        <w:tc>
          <w:tcPr>
            <w:tcW w:w="2761" w:type="pct"/>
          </w:tcPr>
          <w:p w:rsidR="00940CB3" w:rsidRDefault="00940CB3" w:rsidP="00940CB3">
            <w:pPr>
              <w:pStyle w:val="TableParagraph"/>
              <w:spacing w:line="208" w:lineRule="exact"/>
              <w:ind w:left="10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siete</w:t>
            </w:r>
          </w:p>
        </w:tc>
      </w:tr>
      <w:tr w:rsidR="00940CB3" w:rsidRPr="00AF7B4B" w:rsidTr="00940CB3">
        <w:tc>
          <w:tcPr>
            <w:tcW w:w="1392" w:type="pct"/>
            <w:vAlign w:val="center"/>
          </w:tcPr>
          <w:p w:rsidR="00940CB3" w:rsidRPr="00AF7B4B" w:rsidRDefault="00940CB3" w:rsidP="00940CB3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VOTOS NULOS</w:t>
            </w:r>
          </w:p>
        </w:tc>
        <w:tc>
          <w:tcPr>
            <w:tcW w:w="847" w:type="pct"/>
          </w:tcPr>
          <w:p w:rsidR="00940CB3" w:rsidRDefault="00940CB3" w:rsidP="00940CB3">
            <w:pPr>
              <w:pStyle w:val="TableParagraph"/>
              <w:spacing w:line="208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761" w:type="pct"/>
          </w:tcPr>
          <w:p w:rsidR="00940CB3" w:rsidRDefault="00940CB3" w:rsidP="00940CB3">
            <w:pPr>
              <w:pStyle w:val="TableParagraph"/>
              <w:spacing w:line="208" w:lineRule="exact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Veinte</w:t>
            </w:r>
          </w:p>
        </w:tc>
      </w:tr>
      <w:tr w:rsidR="00940CB3" w:rsidRPr="00AF7B4B" w:rsidTr="00940CB3">
        <w:tc>
          <w:tcPr>
            <w:tcW w:w="1392" w:type="pct"/>
            <w:vAlign w:val="center"/>
          </w:tcPr>
          <w:p w:rsidR="00940CB3" w:rsidRPr="00AF7B4B" w:rsidRDefault="00940CB3" w:rsidP="00940CB3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VOTACIÓN TOTAL</w:t>
            </w:r>
          </w:p>
        </w:tc>
        <w:tc>
          <w:tcPr>
            <w:tcW w:w="847" w:type="pct"/>
          </w:tcPr>
          <w:p w:rsidR="00940CB3" w:rsidRDefault="00940CB3" w:rsidP="00940CB3">
            <w:pPr>
              <w:pStyle w:val="TableParagraph"/>
              <w:spacing w:line="225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2761" w:type="pct"/>
          </w:tcPr>
          <w:p w:rsidR="00940CB3" w:rsidRDefault="00940CB3" w:rsidP="00940CB3">
            <w:pPr>
              <w:pStyle w:val="TableParagraph"/>
              <w:spacing w:line="225" w:lineRule="exact"/>
              <w:ind w:left="15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Ochocientos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219"/>
        <w:gridCol w:w="2498"/>
      </w:tblGrid>
      <w:tr w:rsidR="00D77651" w:rsidRPr="00AF7B4B" w:rsidTr="00940CB3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3E27A6">
              <w:rPr>
                <w:rFonts w:eastAsia="Gulim"/>
                <w:b/>
                <w:sz w:val="20"/>
                <w:szCs w:val="20"/>
              </w:rPr>
              <w:t>AMATITLÁ</w:t>
            </w:r>
            <w:r w:rsidR="00940CB3">
              <w:rPr>
                <w:rFonts w:eastAsia="Gulim"/>
                <w:b/>
                <w:sz w:val="20"/>
                <w:szCs w:val="20"/>
              </w:rPr>
              <w:t>N</w:t>
            </w:r>
          </w:p>
        </w:tc>
      </w:tr>
      <w:tr w:rsidR="00D77651" w:rsidRPr="00AF7B4B" w:rsidTr="00940CB3">
        <w:tc>
          <w:tcPr>
            <w:tcW w:w="1578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1927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49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651" w:rsidRPr="00AF7B4B" w:rsidTr="00940CB3">
        <w:tc>
          <w:tcPr>
            <w:tcW w:w="1578" w:type="pct"/>
          </w:tcPr>
          <w:p w:rsidR="00D77651" w:rsidRPr="00AF7B4B" w:rsidRDefault="008901BA" w:rsidP="00940CB3">
            <w:pPr>
              <w:tabs>
                <w:tab w:val="left" w:pos="780"/>
                <w:tab w:val="left" w:pos="10065"/>
                <w:tab w:val="left" w:pos="10206"/>
              </w:tabs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ab/>
            </w:r>
            <w:r w:rsidR="00940CB3"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1927" w:type="pct"/>
          </w:tcPr>
          <w:p w:rsidR="00D77651" w:rsidRPr="00AF7B4B" w:rsidRDefault="00940CB3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RODRIGO ASAEL QUINTANA AVALOS</w:t>
            </w:r>
          </w:p>
        </w:tc>
        <w:tc>
          <w:tcPr>
            <w:tcW w:w="1495" w:type="pct"/>
          </w:tcPr>
          <w:p w:rsidR="00D77651" w:rsidRPr="00AF7B4B" w:rsidRDefault="00940CB3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GABRIELA ZAMORA SILVA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Default="002F1F14" w:rsidP="00D77651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F270A8">
        <w:rPr>
          <w:b/>
        </w:rPr>
        <w:t>58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D77651" w:rsidRDefault="00880C66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880C66">
        <w:rPr>
          <w:rFonts w:eastAsia="Gulim"/>
          <w:b/>
        </w:rPr>
        <w:t>POR EL QUE SE DECLARA LA VALIDEZ Y CALIFICACIÓN DE LA ELECCIÓN DE AYUDANTE MUNICIPAL DEL POBLADO DE AMATITLÁN, CELEBRADA EL DÍA 20 DE MARZO DE 2022</w:t>
      </w:r>
      <w:r>
        <w:rPr>
          <w:rFonts w:eastAsia="Gulim"/>
          <w:b/>
        </w:rPr>
        <w:t>.</w:t>
      </w:r>
    </w:p>
    <w:p w:rsidR="00880C66" w:rsidRPr="00AF7B4B" w:rsidRDefault="00880C66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8901BA">
        <w:rPr>
          <w:rFonts w:eastAsia="Gulim"/>
        </w:rPr>
        <w:t xml:space="preserve"> A</w:t>
      </w:r>
      <w:r w:rsidR="003E27A6">
        <w:rPr>
          <w:rFonts w:eastAsia="Gulim"/>
        </w:rPr>
        <w:t>matitlá</w:t>
      </w:r>
      <w:r w:rsidR="00940CB3">
        <w:rPr>
          <w:rFonts w:eastAsia="Gulim"/>
        </w:rPr>
        <w:t>n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SEGUNDO.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318"/>
        <w:gridCol w:w="2813"/>
      </w:tblGrid>
      <w:tr w:rsidR="00D77651" w:rsidRPr="00AF7B4B" w:rsidTr="00B928D0">
        <w:tc>
          <w:tcPr>
            <w:tcW w:w="5000" w:type="pct"/>
            <w:gridSpan w:val="3"/>
          </w:tcPr>
          <w:p w:rsidR="00D77651" w:rsidRPr="00AF7B4B" w:rsidRDefault="00D77651" w:rsidP="008901B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3E27A6">
              <w:rPr>
                <w:rFonts w:eastAsia="Gulim"/>
                <w:b/>
                <w:sz w:val="20"/>
                <w:szCs w:val="20"/>
              </w:rPr>
              <w:t>AMATITLÁN</w:t>
            </w:r>
          </w:p>
        </w:tc>
      </w:tr>
      <w:tr w:rsidR="00D77651" w:rsidRPr="00AF7B4B" w:rsidTr="00940CB3">
        <w:tc>
          <w:tcPr>
            <w:tcW w:w="133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198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68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940CB3" w:rsidRPr="00AF7B4B" w:rsidTr="00940CB3">
        <w:tc>
          <w:tcPr>
            <w:tcW w:w="1330" w:type="pct"/>
          </w:tcPr>
          <w:p w:rsidR="00940CB3" w:rsidRPr="00AF7B4B" w:rsidRDefault="00940CB3" w:rsidP="00940CB3">
            <w:pPr>
              <w:tabs>
                <w:tab w:val="left" w:pos="780"/>
                <w:tab w:val="left" w:pos="10065"/>
                <w:tab w:val="left" w:pos="10206"/>
              </w:tabs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ab/>
              <w:t>AZUL</w:t>
            </w:r>
          </w:p>
        </w:tc>
        <w:tc>
          <w:tcPr>
            <w:tcW w:w="1986" w:type="pct"/>
          </w:tcPr>
          <w:p w:rsidR="00940CB3" w:rsidRPr="00AF7B4B" w:rsidRDefault="00940CB3" w:rsidP="00940CB3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RODRIGO ASAEL QUINTANA AVALOS</w:t>
            </w:r>
          </w:p>
        </w:tc>
        <w:tc>
          <w:tcPr>
            <w:tcW w:w="1684" w:type="pct"/>
          </w:tcPr>
          <w:p w:rsidR="00940CB3" w:rsidRPr="00AF7B4B" w:rsidRDefault="00940CB3" w:rsidP="00940CB3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GABRIELA ZAMORA SILVA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940CB3" w:rsidRDefault="00940CB3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lastRenderedPageBreak/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BA65C4" w:rsidRPr="00880C66" w:rsidRDefault="009F1B19" w:rsidP="00880C66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880C66" w:rsidRDefault="00880C66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>tase al ciudadano José Luis Urio</w:t>
      </w:r>
      <w:r w:rsidRPr="00B96B15">
        <w:rPr>
          <w:rFonts w:eastAsia="Gulim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BA65C4" w:rsidRDefault="00880C66" w:rsidP="00880C66">
      <w:pPr>
        <w:tabs>
          <w:tab w:val="left" w:pos="10065"/>
          <w:tab w:val="left" w:pos="10206"/>
        </w:tabs>
        <w:jc w:val="center"/>
        <w:rPr>
          <w:rFonts w:ascii="Century Gothic" w:hAnsi="Century Gothic" w:cs="Arial"/>
          <w:bCs/>
          <w:sz w:val="14"/>
          <w:szCs w:val="14"/>
        </w:rPr>
      </w:pPr>
      <w:r>
        <w:rPr>
          <w:rFonts w:eastAsia="Gulim"/>
          <w:b/>
        </w:rPr>
        <w:t>CARLOS DE LA ROSA SEGURA</w:t>
      </w: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5B32D1" w:rsidRDefault="009F1B19" w:rsidP="00880C66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A15744">
        <w:rPr>
          <w:rFonts w:ascii="Century Gothic" w:hAnsi="Century Gothic" w:cs="Arial"/>
          <w:bCs/>
          <w:sz w:val="14"/>
          <w:szCs w:val="14"/>
        </w:rPr>
        <w:t>SE</w:t>
      </w:r>
      <w:r w:rsidR="00477757">
        <w:rPr>
          <w:rFonts w:ascii="Century Gothic" w:hAnsi="Century Gothic" w:cs="Arial"/>
          <w:bCs/>
          <w:sz w:val="14"/>
          <w:szCs w:val="14"/>
        </w:rPr>
        <w:t>/AC-</w:t>
      </w:r>
      <w:r w:rsidR="00F270A8">
        <w:rPr>
          <w:rFonts w:ascii="Century Gothic" w:hAnsi="Century Gothic" w:cs="Arial"/>
          <w:bCs/>
          <w:sz w:val="14"/>
          <w:szCs w:val="14"/>
        </w:rPr>
        <w:t>58</w:t>
      </w:r>
      <w:bookmarkStart w:id="2" w:name="_GoBack"/>
      <w:bookmarkEnd w:id="2"/>
      <w:r w:rsidR="00477757">
        <w:rPr>
          <w:rFonts w:ascii="Century Gothic" w:hAnsi="Century Gothic" w:cs="Arial"/>
          <w:bCs/>
          <w:sz w:val="14"/>
          <w:szCs w:val="14"/>
        </w:rPr>
        <w:t>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="00880C66">
        <w:rPr>
          <w:rFonts w:ascii="Century Gothic" w:hAnsi="Century Gothic" w:cs="Arial"/>
          <w:bCs/>
          <w:sz w:val="14"/>
          <w:szCs w:val="14"/>
        </w:rPr>
        <w:t>,</w:t>
      </w:r>
      <w:r w:rsidR="00880C66" w:rsidRPr="00880C66">
        <w:rPr>
          <w:rFonts w:ascii="Century Gothic" w:hAnsi="Century Gothic" w:cs="Arial"/>
          <w:bCs/>
          <w:sz w:val="14"/>
          <w:szCs w:val="14"/>
        </w:rPr>
        <w:t xml:space="preserve"> POR EL QUE SE DECLARA LA VALIDEZ Y CALIFICACIÓN DE LA ELECCIÓN DE AYUDANTE MUNICIPAL DEL POBLADO DE AMATITLÁN, CELEBRADA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B7" w:rsidRDefault="00CB09B7">
      <w:r>
        <w:separator/>
      </w:r>
    </w:p>
  </w:endnote>
  <w:endnote w:type="continuationSeparator" w:id="0">
    <w:p w:rsidR="00CB09B7" w:rsidRDefault="00C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B7" w:rsidRDefault="00CB09B7">
      <w:r>
        <w:separator/>
      </w:r>
    </w:p>
  </w:footnote>
  <w:footnote w:type="continuationSeparator" w:id="0">
    <w:p w:rsidR="00CB09B7" w:rsidRDefault="00C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B2105"/>
    <w:rsid w:val="001512D0"/>
    <w:rsid w:val="001B493D"/>
    <w:rsid w:val="002F1F14"/>
    <w:rsid w:val="003313FD"/>
    <w:rsid w:val="00333AC1"/>
    <w:rsid w:val="003E27A6"/>
    <w:rsid w:val="004469F5"/>
    <w:rsid w:val="00477757"/>
    <w:rsid w:val="00493156"/>
    <w:rsid w:val="004D37CF"/>
    <w:rsid w:val="00561763"/>
    <w:rsid w:val="00574DF1"/>
    <w:rsid w:val="00701A35"/>
    <w:rsid w:val="00764AED"/>
    <w:rsid w:val="007A03BD"/>
    <w:rsid w:val="00880C66"/>
    <w:rsid w:val="008901BA"/>
    <w:rsid w:val="00940CB3"/>
    <w:rsid w:val="009D7276"/>
    <w:rsid w:val="009F1B19"/>
    <w:rsid w:val="00A13CCC"/>
    <w:rsid w:val="00A15744"/>
    <w:rsid w:val="00B5376D"/>
    <w:rsid w:val="00B759A2"/>
    <w:rsid w:val="00BA65C4"/>
    <w:rsid w:val="00C429BF"/>
    <w:rsid w:val="00CB09B7"/>
    <w:rsid w:val="00D77651"/>
    <w:rsid w:val="00DA0AA4"/>
    <w:rsid w:val="00DE1D07"/>
    <w:rsid w:val="00DE7031"/>
    <w:rsid w:val="00EF0571"/>
    <w:rsid w:val="00F270A8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D542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2</cp:revision>
  <dcterms:created xsi:type="dcterms:W3CDTF">2022-03-28T18:18:00Z</dcterms:created>
  <dcterms:modified xsi:type="dcterms:W3CDTF">2022-03-28T18:18:00Z</dcterms:modified>
</cp:coreProperties>
</file>