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9F1B19" w:rsidP="009F1B19">
      <w:pPr>
        <w:tabs>
          <w:tab w:val="left" w:pos="6725"/>
        </w:tabs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2B4D" wp14:editId="3C38D854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4B01E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64</w:t>
                            </w:r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2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4B01E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64</w:t>
                      </w:r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020D74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Acapantzingo</w:t>
      </w:r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Tlaltenango.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>Representante del Instituto Estatal Electoral del Estado, Carlos Facundo Jaimes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>I.- Acapantzingo</w:t>
      </w:r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Tlaltenango.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lastRenderedPageBreak/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>, se recibieron las solicitudes de registro de los aspirantes a candidatos a Ay</w:t>
      </w:r>
      <w:r w:rsidR="000C6BF5">
        <w:rPr>
          <w:rFonts w:eastAsia="Gulim"/>
        </w:rPr>
        <w:t>udante Municipal del</w:t>
      </w:r>
      <w:r w:rsidR="002D11C7">
        <w:rPr>
          <w:rFonts w:eastAsia="Gulim"/>
        </w:rPr>
        <w:t xml:space="preserve"> Poblado de </w:t>
      </w:r>
      <w:proofErr w:type="spellStart"/>
      <w:r w:rsidR="002D11C7">
        <w:rPr>
          <w:rFonts w:eastAsia="Gulim"/>
        </w:rPr>
        <w:t>Tetela</w:t>
      </w:r>
      <w:proofErr w:type="spellEnd"/>
      <w:r w:rsidR="002D11C7">
        <w:rPr>
          <w:rFonts w:eastAsia="Gulim"/>
        </w:rPr>
        <w:t xml:space="preserve"> del Monte</w:t>
      </w:r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18262F" w:rsidRPr="00AF7B4B" w:rsidRDefault="0018262F" w:rsidP="0018262F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BLANCA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MARTHA PATRICIA AYÓN GARCÍA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KAREM YULIANA ESTRADA MEJÍA 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VERDE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PEDRO VARGAS CORTÉS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SUSANA VÁZQUEZ LÓPEZ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ROBERTO RODRÍFGUEZ QUINTERO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NORA VELIA RAMÍREZ ARTEAGA</w:t>
            </w:r>
          </w:p>
        </w:tc>
      </w:tr>
      <w:tr w:rsidR="00A05E12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ROJO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DIEGO ALONSO LEÓN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E12" w:rsidRDefault="002D11C7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MARÍA FIGUEROA MIRANDA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B17A23" w:rsidRPr="00AF7B4B" w:rsidRDefault="00124F42" w:rsidP="00B17A23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</w:t>
      </w:r>
      <w:r w:rsidR="00D77651" w:rsidRPr="00AF7B4B">
        <w:rPr>
          <w:rFonts w:eastAsia="Gulim"/>
        </w:rPr>
        <w:t xml:space="preserve"> para el Poblado de </w:t>
      </w:r>
      <w:proofErr w:type="spellStart"/>
      <w:r w:rsidR="002D11C7">
        <w:rPr>
          <w:rFonts w:eastAsia="Gulim"/>
        </w:rPr>
        <w:t>Tetela</w:t>
      </w:r>
      <w:proofErr w:type="spellEnd"/>
      <w:r w:rsidR="002D11C7">
        <w:rPr>
          <w:rFonts w:eastAsia="Gulim"/>
        </w:rPr>
        <w:t xml:space="preserve"> del Monte</w:t>
      </w:r>
      <w:r w:rsidR="00D77651" w:rsidRPr="00AF7B4B">
        <w:rPr>
          <w:rFonts w:eastAsia="Gulim"/>
        </w:rPr>
        <w:t xml:space="preserve">, se elaboraron </w:t>
      </w:r>
      <w:r>
        <w:rPr>
          <w:rFonts w:eastAsia="Gulim"/>
        </w:rPr>
        <w:t xml:space="preserve">dos </w:t>
      </w:r>
      <w:r w:rsidR="00B17A23">
        <w:rPr>
          <w:rFonts w:eastAsia="Gulim"/>
        </w:rPr>
        <w:t>mil</w:t>
      </w:r>
      <w:r w:rsidR="001204DB">
        <w:rPr>
          <w:rFonts w:eastAsia="Gulim"/>
        </w:rPr>
        <w:t xml:space="preserve"> </w:t>
      </w:r>
      <w:r w:rsidR="007A03BD">
        <w:rPr>
          <w:rFonts w:eastAsia="Gulim"/>
        </w:rPr>
        <w:t>boletas</w:t>
      </w:r>
      <w:r w:rsidR="00D77651" w:rsidRPr="00AF7B4B">
        <w:rPr>
          <w:rFonts w:eastAsia="Gulim"/>
        </w:rPr>
        <w:t>;</w:t>
      </w:r>
      <w:r w:rsidR="00B17A23" w:rsidRPr="00B17A23">
        <w:rPr>
          <w:rFonts w:eastAsia="Gulim"/>
        </w:rPr>
        <w:t xml:space="preserve"> </w:t>
      </w:r>
      <w:r w:rsidR="001204DB">
        <w:rPr>
          <w:rFonts w:eastAsia="Gulim"/>
        </w:rPr>
        <w:t xml:space="preserve">repartidas en la casilla básica </w:t>
      </w:r>
      <w:r w:rsidR="00273BAD">
        <w:rPr>
          <w:rFonts w:eastAsia="Gulim"/>
        </w:rPr>
        <w:t>mil doscientas</w:t>
      </w:r>
      <w:r w:rsidR="00B17A23" w:rsidRPr="00AF7B4B">
        <w:rPr>
          <w:rFonts w:eastAsia="Gulim"/>
        </w:rPr>
        <w:t xml:space="preserve"> boletas y en la casilla contigua </w:t>
      </w:r>
      <w:r w:rsidR="00273BAD">
        <w:rPr>
          <w:rFonts w:eastAsia="Gulim"/>
        </w:rPr>
        <w:t>ocho</w:t>
      </w:r>
      <w:r w:rsidR="001204DB">
        <w:rPr>
          <w:rFonts w:eastAsia="Gulim"/>
        </w:rPr>
        <w:t>cientas</w:t>
      </w:r>
      <w:r w:rsidR="00EA7F2A">
        <w:rPr>
          <w:rFonts w:eastAsia="Gulim"/>
        </w:rPr>
        <w:t xml:space="preserve"> </w:t>
      </w:r>
      <w:r>
        <w:rPr>
          <w:rFonts w:eastAsia="Gulim"/>
        </w:rPr>
        <w:t>b</w:t>
      </w:r>
      <w:r w:rsidR="0018262F">
        <w:rPr>
          <w:rFonts w:eastAsia="Gulim"/>
        </w:rPr>
        <w:t xml:space="preserve">oletas.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6D356C">
        <w:rPr>
          <w:rFonts w:eastAsia="Gulim"/>
        </w:rPr>
        <w:t>Que por Acuerdo de la Junta Electoral Municipal, a fin de que el ej</w:t>
      </w:r>
      <w:r w:rsidR="000B2105" w:rsidRPr="006D356C">
        <w:rPr>
          <w:rFonts w:eastAsia="Gulim"/>
        </w:rPr>
        <w:t>ercicio democrático llevado</w:t>
      </w:r>
      <w:r w:rsidRPr="006D356C">
        <w:rPr>
          <w:rFonts w:eastAsia="Gulim"/>
        </w:rPr>
        <w:t xml:space="preserve"> a cabo el día </w:t>
      </w:r>
      <w:r w:rsidR="000B2105" w:rsidRPr="006D356C">
        <w:rPr>
          <w:rFonts w:eastAsia="Gulim"/>
        </w:rPr>
        <w:t>20</w:t>
      </w:r>
      <w:r w:rsidRPr="006D356C">
        <w:rPr>
          <w:rFonts w:eastAsia="Gulim"/>
        </w:rPr>
        <w:t xml:space="preserve"> de marzo del presente año, se encontrara dotado de mayor transparencia y certeza para los electores; así como los candidatos participantes en el proceso de elección de Ayudantes Municipales de Cuernavaca para el periodo 20</w:t>
      </w:r>
      <w:r w:rsidR="000B2105" w:rsidRPr="006D356C">
        <w:rPr>
          <w:rFonts w:eastAsia="Gulim"/>
        </w:rPr>
        <w:t>22-2024</w:t>
      </w:r>
      <w:r w:rsidRPr="006D356C">
        <w:rPr>
          <w:rFonts w:eastAsia="Gulim"/>
        </w:rPr>
        <w:t>, convocó a los habitantes del Municipio de Cuernavaca que desearan participar en calidad de Observadore</w:t>
      </w:r>
      <w:r w:rsidR="0018262F">
        <w:rPr>
          <w:rFonts w:eastAsia="Gulim"/>
        </w:rPr>
        <w:t xml:space="preserve">s ciudadanos en dicha elección, </w:t>
      </w:r>
      <w:r w:rsidRPr="006D356C">
        <w:rPr>
          <w:rFonts w:eastAsia="Gulim"/>
        </w:rPr>
        <w:t>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124F42" w:rsidRDefault="00124F42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 w:rsidR="00940CB3">
        <w:rPr>
          <w:rFonts w:eastAsia="Gulim"/>
        </w:rPr>
        <w:t xml:space="preserve">nicipal, </w:t>
      </w:r>
      <w:r w:rsidR="00B17A23" w:rsidRPr="00AF7B4B">
        <w:rPr>
          <w:rFonts w:eastAsia="Gulim"/>
        </w:rPr>
        <w:t>nombró como presidentes de las mesas receptoras del voto, a los servidores públicos siguientes:</w:t>
      </w:r>
    </w:p>
    <w:p w:rsidR="00EA7F2A" w:rsidRPr="00EA7F2A" w:rsidRDefault="00EA7F2A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358"/>
      </w:tblGrid>
      <w:tr w:rsidR="00B17A23" w:rsidRPr="00AF7B4B" w:rsidTr="00B17A23">
        <w:tc>
          <w:tcPr>
            <w:tcW w:w="3887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358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B17A23" w:rsidRPr="00AF7B4B" w:rsidTr="00B17A23">
        <w:tc>
          <w:tcPr>
            <w:tcW w:w="3887" w:type="dxa"/>
          </w:tcPr>
          <w:p w:rsidR="00B17A23" w:rsidRPr="00AF7B4B" w:rsidRDefault="00273BAD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EDUARDO HERNÁNDEZ ESCOBAR</w:t>
            </w:r>
          </w:p>
        </w:tc>
        <w:tc>
          <w:tcPr>
            <w:tcW w:w="4358" w:type="dxa"/>
          </w:tcPr>
          <w:p w:rsidR="00B17A23" w:rsidRPr="00AF7B4B" w:rsidRDefault="00273BAD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GUSTAVO FERNANDO BRAVO OTERO</w:t>
            </w:r>
          </w:p>
        </w:tc>
      </w:tr>
    </w:tbl>
    <w:p w:rsidR="00940CB3" w:rsidRPr="00AF7B4B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 w:rsidR="006D356C">
        <w:rPr>
          <w:rFonts w:eastAsia="Gulim"/>
        </w:rPr>
        <w:t>l, en donde se hizo entrega a los Presidentes</w:t>
      </w:r>
      <w:r w:rsidRPr="00AF7B4B">
        <w:rPr>
          <w:rFonts w:eastAsia="Gulim"/>
        </w:rPr>
        <w:t xml:space="preserve"> de casilla, del material electoral, el cual se uti</w:t>
      </w:r>
      <w:r w:rsidR="00940CB3">
        <w:rPr>
          <w:rFonts w:eastAsia="Gulim"/>
        </w:rPr>
        <w:t>lizaría en la instalación de la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mesa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de votos en la elección de Ayudante Municipal.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 w:rsidR="00940CB3">
        <w:rPr>
          <w:rFonts w:eastAsia="Gulim"/>
        </w:rPr>
        <w:t>do en la Convocatoria, las mesa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de votos fue</w:t>
      </w:r>
      <w:r w:rsidR="00B17A23">
        <w:rPr>
          <w:rFonts w:eastAsia="Gulim"/>
        </w:rPr>
        <w:t>ron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instalada</w:t>
      </w:r>
      <w:r w:rsidR="00B17A23">
        <w:rPr>
          <w:rFonts w:eastAsia="Gulim"/>
        </w:rPr>
        <w:t>s</w:t>
      </w:r>
      <w:r w:rsidRPr="00AF7B4B">
        <w:rPr>
          <w:rFonts w:eastAsia="Gulim"/>
        </w:rPr>
        <w:t xml:space="preserve">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8"/>
        <w:gridCol w:w="4959"/>
      </w:tblGrid>
      <w:tr w:rsidR="00D77651" w:rsidRPr="00AF7B4B" w:rsidTr="001204DB">
        <w:tc>
          <w:tcPr>
            <w:tcW w:w="2389" w:type="pct"/>
            <w:gridSpan w:val="2"/>
            <w:tcBorders>
              <w:right w:val="nil"/>
            </w:tcBorders>
          </w:tcPr>
          <w:p w:rsidR="00D77651" w:rsidRPr="00AF7B4B" w:rsidRDefault="00D77651" w:rsidP="00273BA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1204DB"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273BAD">
              <w:rPr>
                <w:rFonts w:eastAsia="Gulim"/>
                <w:b/>
                <w:sz w:val="20"/>
                <w:szCs w:val="20"/>
              </w:rPr>
              <w:t>TETELA DEL MONTE</w:t>
            </w:r>
          </w:p>
        </w:tc>
        <w:tc>
          <w:tcPr>
            <w:tcW w:w="2611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273BAD">
              <w:rPr>
                <w:rFonts w:eastAsia="Gulim"/>
                <w:b/>
                <w:sz w:val="20"/>
                <w:szCs w:val="20"/>
              </w:rPr>
              <w:t>18:37</w:t>
            </w:r>
            <w:r w:rsidR="00940CB3">
              <w:rPr>
                <w:rFonts w:eastAsia="Gulim"/>
                <w:b/>
                <w:sz w:val="20"/>
                <w:szCs w:val="20"/>
              </w:rPr>
              <w:t xml:space="preserve"> </w:t>
            </w:r>
            <w:r w:rsidRPr="00AF7B4B">
              <w:rPr>
                <w:rFonts w:eastAsia="Gulim"/>
                <w:b/>
                <w:sz w:val="20"/>
                <w:szCs w:val="20"/>
              </w:rPr>
              <w:t>hrs.</w:t>
            </w:r>
          </w:p>
        </w:tc>
      </w:tr>
      <w:tr w:rsidR="002A5F3F" w:rsidRPr="00AF7B4B" w:rsidTr="00273BAD">
        <w:tc>
          <w:tcPr>
            <w:tcW w:w="171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3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273BAD" w:rsidRPr="00AF7B4B" w:rsidTr="00273BAD">
        <w:tc>
          <w:tcPr>
            <w:tcW w:w="1716" w:type="pct"/>
          </w:tcPr>
          <w:p w:rsidR="00273BAD" w:rsidRDefault="00273BAD" w:rsidP="00273BAD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3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cincuenta</w:t>
            </w:r>
          </w:p>
        </w:tc>
      </w:tr>
      <w:tr w:rsidR="00273BAD" w:rsidRPr="00AF7B4B" w:rsidTr="00273BAD">
        <w:tc>
          <w:tcPr>
            <w:tcW w:w="1716" w:type="pct"/>
          </w:tcPr>
          <w:p w:rsidR="00273BAD" w:rsidRDefault="00273BAD" w:rsidP="00273BAD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3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diecisiete</w:t>
            </w:r>
          </w:p>
        </w:tc>
      </w:tr>
      <w:tr w:rsidR="00273BAD" w:rsidRPr="00AF7B4B" w:rsidTr="00273BAD">
        <w:tc>
          <w:tcPr>
            <w:tcW w:w="1716" w:type="pct"/>
          </w:tcPr>
          <w:p w:rsidR="00273BAD" w:rsidRDefault="00273BAD" w:rsidP="00273BAD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3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</w:p>
        </w:tc>
      </w:tr>
      <w:tr w:rsidR="00273BAD" w:rsidRPr="00AF7B4B" w:rsidTr="00273BAD">
        <w:tc>
          <w:tcPr>
            <w:tcW w:w="1716" w:type="pct"/>
          </w:tcPr>
          <w:p w:rsidR="00273BAD" w:rsidRDefault="00273BAD" w:rsidP="00273BAD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673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nueve</w:t>
            </w:r>
          </w:p>
        </w:tc>
      </w:tr>
      <w:tr w:rsidR="00273BAD" w:rsidRPr="00AF7B4B" w:rsidTr="00273BAD">
        <w:tc>
          <w:tcPr>
            <w:tcW w:w="1716" w:type="pct"/>
          </w:tcPr>
          <w:p w:rsidR="00273BAD" w:rsidRDefault="00273BAD" w:rsidP="00273BAD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3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Diez</w:t>
            </w:r>
          </w:p>
        </w:tc>
      </w:tr>
      <w:tr w:rsidR="00273BAD" w:rsidRPr="00AF7B4B" w:rsidTr="00273BAD">
        <w:tc>
          <w:tcPr>
            <w:tcW w:w="1716" w:type="pct"/>
          </w:tcPr>
          <w:p w:rsidR="00273BAD" w:rsidRDefault="00273BAD" w:rsidP="00273BAD">
            <w:pPr>
              <w:pStyle w:val="TableParagraph"/>
              <w:spacing w:line="225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3" w:type="pct"/>
          </w:tcPr>
          <w:p w:rsidR="00273BAD" w:rsidRDefault="00273BAD" w:rsidP="00273BAD">
            <w:pPr>
              <w:pStyle w:val="TableParagraph"/>
              <w:spacing w:line="225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786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spacing w:line="225" w:lineRule="exact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Setecientos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ochenta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</w:tbl>
    <w:p w:rsidR="001204DB" w:rsidRDefault="001204DB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284"/>
        <w:gridCol w:w="4959"/>
      </w:tblGrid>
      <w:tr w:rsidR="002A5F3F" w:rsidRPr="00AF7B4B" w:rsidTr="001204DB">
        <w:tc>
          <w:tcPr>
            <w:tcW w:w="2389" w:type="pct"/>
            <w:gridSpan w:val="2"/>
            <w:tcBorders>
              <w:right w:val="nil"/>
            </w:tcBorders>
            <w:vAlign w:val="center"/>
          </w:tcPr>
          <w:p w:rsidR="006D356C" w:rsidRPr="00AF7B4B" w:rsidRDefault="006D356C" w:rsidP="001204DB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273BAD">
              <w:rPr>
                <w:rFonts w:eastAsia="Gulim"/>
                <w:b/>
                <w:sz w:val="20"/>
                <w:szCs w:val="20"/>
              </w:rPr>
              <w:t>TETELA DEL MONTE</w:t>
            </w:r>
          </w:p>
        </w:tc>
        <w:tc>
          <w:tcPr>
            <w:tcW w:w="2611" w:type="pct"/>
            <w:tcBorders>
              <w:left w:val="nil"/>
            </w:tcBorders>
            <w:vAlign w:val="center"/>
          </w:tcPr>
          <w:p w:rsidR="006D356C" w:rsidRPr="00AF7B4B" w:rsidRDefault="006D356C" w:rsidP="001204D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2A5F3F">
              <w:rPr>
                <w:rFonts w:eastAsia="Gulim"/>
                <w:b/>
                <w:sz w:val="20"/>
                <w:szCs w:val="20"/>
              </w:rPr>
              <w:t>1</w:t>
            </w:r>
            <w:r w:rsidR="00273BAD">
              <w:rPr>
                <w:rFonts w:eastAsia="Gulim"/>
                <w:b/>
                <w:sz w:val="20"/>
                <w:szCs w:val="20"/>
              </w:rPr>
              <w:t>8:26</w:t>
            </w:r>
            <w:r>
              <w:rPr>
                <w:rFonts w:eastAsia="Gulim"/>
                <w:b/>
                <w:sz w:val="20"/>
                <w:szCs w:val="20"/>
              </w:rPr>
              <w:t xml:space="preserve"> </w:t>
            </w:r>
            <w:r w:rsidRPr="00AF7B4B">
              <w:rPr>
                <w:rFonts w:eastAsia="Gulim"/>
                <w:b/>
                <w:sz w:val="20"/>
                <w:szCs w:val="20"/>
              </w:rPr>
              <w:t>hrs.</w:t>
            </w:r>
            <w:r w:rsidR="00273BAD">
              <w:rPr>
                <w:rFonts w:eastAsia="Gulim"/>
                <w:b/>
                <w:sz w:val="20"/>
                <w:szCs w:val="20"/>
              </w:rPr>
              <w:t xml:space="preserve"> CONTIGUA 1</w:t>
            </w:r>
          </w:p>
        </w:tc>
      </w:tr>
      <w:tr w:rsidR="002A5F3F" w:rsidRPr="00AF7B4B" w:rsidTr="001204DB">
        <w:tc>
          <w:tcPr>
            <w:tcW w:w="1713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6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  <w:vAlign w:val="center"/>
          </w:tcPr>
          <w:p w:rsidR="006D356C" w:rsidRPr="00AF7B4B" w:rsidRDefault="006D356C" w:rsidP="002A5F3F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273BAD" w:rsidRPr="00AF7B4B" w:rsidTr="001204DB">
        <w:tc>
          <w:tcPr>
            <w:tcW w:w="1713" w:type="pct"/>
          </w:tcPr>
          <w:p w:rsidR="00273BAD" w:rsidRDefault="00273BAD" w:rsidP="00273BAD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6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0" w:right="10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ochenta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273BAD" w:rsidRPr="00AF7B4B" w:rsidTr="001204DB">
        <w:tc>
          <w:tcPr>
            <w:tcW w:w="1713" w:type="pct"/>
          </w:tcPr>
          <w:p w:rsidR="00273BAD" w:rsidRDefault="00273BAD" w:rsidP="00273BAD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6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nueve</w:t>
            </w:r>
          </w:p>
        </w:tc>
      </w:tr>
      <w:tr w:rsidR="00273BAD" w:rsidRPr="00AF7B4B" w:rsidTr="001204DB">
        <w:tc>
          <w:tcPr>
            <w:tcW w:w="1713" w:type="pct"/>
          </w:tcPr>
          <w:p w:rsidR="00273BAD" w:rsidRDefault="00273BAD" w:rsidP="00273BAD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6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0" w:right="10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cincuenta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273BAD" w:rsidRPr="00AF7B4B" w:rsidTr="001204DB">
        <w:tc>
          <w:tcPr>
            <w:tcW w:w="1713" w:type="pct"/>
          </w:tcPr>
          <w:p w:rsidR="00273BAD" w:rsidRDefault="00273BAD" w:rsidP="00273BAD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Rojo</w:t>
            </w:r>
          </w:p>
        </w:tc>
        <w:tc>
          <w:tcPr>
            <w:tcW w:w="676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273BAD" w:rsidRPr="00AF7B4B" w:rsidTr="001204DB">
        <w:tc>
          <w:tcPr>
            <w:tcW w:w="1713" w:type="pct"/>
          </w:tcPr>
          <w:p w:rsidR="00273BAD" w:rsidRDefault="00273BAD" w:rsidP="00273BAD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6" w:type="pct"/>
          </w:tcPr>
          <w:p w:rsidR="00273BAD" w:rsidRDefault="00273BAD" w:rsidP="00273BAD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Siete</w:t>
            </w:r>
          </w:p>
        </w:tc>
      </w:tr>
      <w:tr w:rsidR="00273BAD" w:rsidRPr="00AF7B4B" w:rsidTr="001204DB">
        <w:tc>
          <w:tcPr>
            <w:tcW w:w="1713" w:type="pct"/>
          </w:tcPr>
          <w:p w:rsidR="00273BAD" w:rsidRDefault="00273BAD" w:rsidP="00273BAD">
            <w:pPr>
              <w:pStyle w:val="TableParagraph"/>
              <w:spacing w:line="225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6" w:type="pct"/>
          </w:tcPr>
          <w:p w:rsidR="00273BAD" w:rsidRDefault="00273BAD" w:rsidP="00273BAD">
            <w:pPr>
              <w:pStyle w:val="TableParagraph"/>
              <w:spacing w:line="225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2611" w:type="pct"/>
          </w:tcPr>
          <w:p w:rsidR="00273BAD" w:rsidRDefault="00273BAD" w:rsidP="00273BAD">
            <w:pPr>
              <w:pStyle w:val="TableParagraph"/>
              <w:spacing w:line="225" w:lineRule="exact"/>
              <w:ind w:left="0" w:right="1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Seiscientos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noventa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</w:tbl>
    <w:p w:rsidR="00D77CBB" w:rsidRDefault="00D77CBB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273BAD" w:rsidRDefault="00273BAD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273BAD" w:rsidRDefault="00273BAD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273BAD" w:rsidRPr="00AF7B4B" w:rsidRDefault="00273BAD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3685"/>
        <w:gridCol w:w="2833"/>
      </w:tblGrid>
      <w:tr w:rsidR="00D77651" w:rsidRPr="00AF7B4B" w:rsidTr="00D77CBB">
        <w:tc>
          <w:tcPr>
            <w:tcW w:w="5000" w:type="pct"/>
            <w:gridSpan w:val="3"/>
          </w:tcPr>
          <w:p w:rsidR="00D77651" w:rsidRPr="00AF7B4B" w:rsidRDefault="00D77651" w:rsidP="003E27A6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 w:rsidR="00273BAD">
              <w:rPr>
                <w:rFonts w:eastAsia="Gulim"/>
                <w:b/>
                <w:sz w:val="20"/>
                <w:szCs w:val="20"/>
              </w:rPr>
              <w:t>TETELA DEL MONTE</w:t>
            </w:r>
          </w:p>
        </w:tc>
      </w:tr>
      <w:tr w:rsidR="00D77651" w:rsidRPr="00AF7B4B" w:rsidTr="00D77CBB">
        <w:tc>
          <w:tcPr>
            <w:tcW w:w="118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15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660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255FF2" w:rsidRPr="00AF7B4B" w:rsidTr="00D77CBB">
        <w:tc>
          <w:tcPr>
            <w:tcW w:w="1181" w:type="pct"/>
            <w:vAlign w:val="center"/>
          </w:tcPr>
          <w:p w:rsidR="00255FF2" w:rsidRPr="00AF7B4B" w:rsidRDefault="00255FF2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159" w:type="pct"/>
            <w:vAlign w:val="center"/>
          </w:tcPr>
          <w:p w:rsidR="00255FF2" w:rsidRDefault="00273BAD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ROBERTO RODRIGUEZ QUINTERO</w:t>
            </w:r>
          </w:p>
        </w:tc>
        <w:tc>
          <w:tcPr>
            <w:tcW w:w="1660" w:type="pct"/>
            <w:vAlign w:val="center"/>
          </w:tcPr>
          <w:p w:rsidR="00255FF2" w:rsidRDefault="00273BAD" w:rsidP="00255FF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NORA VELIA RAMÍREZ ARTEAGA</w:t>
            </w:r>
          </w:p>
        </w:tc>
      </w:tr>
    </w:tbl>
    <w:p w:rsidR="00940CB3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273BAD" w:rsidRDefault="00273BAD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CBB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Default="002F1F14" w:rsidP="00D77651">
      <w:pPr>
        <w:tabs>
          <w:tab w:val="left" w:pos="10065"/>
          <w:tab w:val="left" w:pos="10206"/>
        </w:tabs>
        <w:jc w:val="center"/>
        <w:rPr>
          <w:b/>
        </w:rPr>
      </w:pPr>
      <w:r>
        <w:rPr>
          <w:b/>
        </w:rPr>
        <w:t>SE/AC-</w:t>
      </w:r>
      <w:r w:rsidR="004B01E0">
        <w:rPr>
          <w:b/>
        </w:rPr>
        <w:t>64</w:t>
      </w:r>
      <w:r>
        <w:rPr>
          <w:b/>
        </w:rPr>
        <w:t>/27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18262F" w:rsidRPr="00AF7B4B" w:rsidRDefault="0018262F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Default="0018262F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18262F">
        <w:rPr>
          <w:rFonts w:eastAsia="Gulim"/>
          <w:b/>
        </w:rPr>
        <w:t xml:space="preserve">POR EL QUE SE DECLARA LA VALIDEZ Y CALIFICACIÓN DE LA ELECCIÓN DE AYUDANTE MUNICIPAL DEL POBLADO DE </w:t>
      </w:r>
      <w:bookmarkStart w:id="2" w:name="_GoBack"/>
      <w:r w:rsidRPr="0018262F">
        <w:rPr>
          <w:rFonts w:eastAsia="Gulim"/>
          <w:b/>
        </w:rPr>
        <w:t>TETELA DEL MONTE</w:t>
      </w:r>
      <w:bookmarkEnd w:id="2"/>
      <w:r w:rsidRPr="0018262F">
        <w:rPr>
          <w:rFonts w:eastAsia="Gulim"/>
          <w:b/>
        </w:rPr>
        <w:t>, CELEBRADA EL DÍA 20 DE MARZO DE 2022.</w:t>
      </w:r>
    </w:p>
    <w:p w:rsidR="0018262F" w:rsidRPr="00AF7B4B" w:rsidRDefault="0018262F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CBB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PRIMERO.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Es válida y legal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Pr="00AF7B4B">
        <w:rPr>
          <w:rFonts w:eastAsia="Gulim"/>
        </w:rPr>
        <w:t>, aprobándose el resultado de la Elección en el Poblado de</w:t>
      </w:r>
      <w:r w:rsidR="008901BA">
        <w:rPr>
          <w:rFonts w:eastAsia="Gulim"/>
        </w:rPr>
        <w:t xml:space="preserve"> </w:t>
      </w:r>
      <w:proofErr w:type="spellStart"/>
      <w:r w:rsidR="00273BAD">
        <w:rPr>
          <w:rFonts w:eastAsia="Gulim"/>
        </w:rPr>
        <w:t>Tetela</w:t>
      </w:r>
      <w:proofErr w:type="spellEnd"/>
      <w:r w:rsidR="00273BAD">
        <w:rPr>
          <w:rFonts w:eastAsia="Gulim"/>
        </w:rPr>
        <w:t xml:space="preserve"> del Monte</w:t>
      </w:r>
      <w:r w:rsidRPr="00AF7B4B">
        <w:rPr>
          <w:rFonts w:eastAsia="Gulim"/>
        </w:rPr>
        <w:t>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SEGUNDO.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Resulta electo como Ayudante Municipal: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255FF2" w:rsidRDefault="00D77651" w:rsidP="00255FF2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AYUDANTE MUNICIPAL ELECTO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60"/>
        <w:gridCol w:w="2960"/>
      </w:tblGrid>
      <w:tr w:rsidR="00D77651" w:rsidRPr="00AF7B4B" w:rsidTr="007C6E7E">
        <w:tc>
          <w:tcPr>
            <w:tcW w:w="5000" w:type="pct"/>
            <w:gridSpan w:val="3"/>
          </w:tcPr>
          <w:p w:rsidR="00D77651" w:rsidRPr="00AF7B4B" w:rsidRDefault="00D77651" w:rsidP="00273BA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 </w:t>
            </w:r>
            <w:r w:rsidR="00273BAD">
              <w:rPr>
                <w:rFonts w:eastAsia="Gulim"/>
                <w:b/>
                <w:sz w:val="20"/>
                <w:szCs w:val="20"/>
              </w:rPr>
              <w:t>TETELA DEL MONTE</w:t>
            </w:r>
          </w:p>
        </w:tc>
      </w:tr>
      <w:tr w:rsidR="00D77651" w:rsidRPr="00AF7B4B" w:rsidTr="007C6E7E">
        <w:tc>
          <w:tcPr>
            <w:tcW w:w="116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094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74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273BAD" w:rsidRPr="00AF7B4B" w:rsidTr="002C4EFA">
        <w:tc>
          <w:tcPr>
            <w:tcW w:w="1165" w:type="pct"/>
            <w:vAlign w:val="center"/>
          </w:tcPr>
          <w:p w:rsidR="00273BAD" w:rsidRPr="00AF7B4B" w:rsidRDefault="00273BAD" w:rsidP="00273BA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094" w:type="pct"/>
            <w:vAlign w:val="center"/>
          </w:tcPr>
          <w:p w:rsidR="00273BAD" w:rsidRDefault="00273BAD" w:rsidP="00273BA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ROBERTO RODRIGUEZ QUINTERO</w:t>
            </w:r>
          </w:p>
        </w:tc>
        <w:tc>
          <w:tcPr>
            <w:tcW w:w="1741" w:type="pct"/>
            <w:vAlign w:val="center"/>
          </w:tcPr>
          <w:p w:rsidR="00273BAD" w:rsidRDefault="00273BAD" w:rsidP="00273BA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NORA VELIA RAMÍREZ ARTEAGA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TERCERO.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Expídasele la constancia de mayoría para que sea entregada al Ayudante Municipal electo.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CUARTO.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Cúmplase con la toma de protesta de ley para el día primero de abril del año dos mil </w:t>
      </w:r>
      <w:r w:rsidR="00BA65C4">
        <w:rPr>
          <w:rFonts w:eastAsia="Gulim"/>
        </w:rPr>
        <w:t>veintidós</w:t>
      </w:r>
      <w:r w:rsidRPr="00AF7B4B">
        <w:rPr>
          <w:rFonts w:eastAsia="Gulim"/>
        </w:rPr>
        <w:t>, de conformidad con la normatividad correspondiente.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40CB3" w:rsidRDefault="00D77651" w:rsidP="006D356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QUINTO.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Se instruye a la Secretaría del Ayuntamiento; así como a las demás dependencias involucradas, a realizar los trámites conducentes para dar cumplimiento al presente Acuerdo.</w:t>
      </w:r>
    </w:p>
    <w:p w:rsidR="00273BAD" w:rsidRDefault="00273BAD" w:rsidP="006D356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273BAD" w:rsidRPr="006D356C" w:rsidRDefault="00273BAD" w:rsidP="006D356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lastRenderedPageBreak/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255FF2" w:rsidRDefault="00255FF2" w:rsidP="00D77651">
      <w:pPr>
        <w:tabs>
          <w:tab w:val="left" w:pos="10065"/>
          <w:tab w:val="left" w:pos="10206"/>
        </w:tabs>
        <w:jc w:val="both"/>
        <w:rPr>
          <w:rFonts w:eastAsia="Gulim"/>
          <w:b/>
          <w:bCs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856867" w:rsidRDefault="00856867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856867" w:rsidRDefault="00856867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9F1B19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CBB" w:rsidRDefault="00D77CBB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>tase al ciudadano José Luis Urio</w:t>
      </w:r>
      <w:r w:rsidRPr="00B96B15">
        <w:rPr>
          <w:rFonts w:eastAsia="Gulim"/>
        </w:rPr>
        <w:t xml:space="preserve">stegui Salgado, Presidente Municipal Constitucional, para que en uso de las facultades que le confiere el artículo 41, fracción XXXVIII de la Ley Orgánica Municipal del Estado de Morelos y por conducto </w:t>
      </w:r>
      <w:r w:rsidRPr="00B96B15">
        <w:rPr>
          <w:rFonts w:eastAsia="Gulim"/>
        </w:rPr>
        <w:lastRenderedPageBreak/>
        <w:t xml:space="preserve">de la Secretaría del Ayuntamiento, mande publicar el presente Acuerdo en el Periódico Oficial “Tierra y Libertad” y en la Gaceta Municipal. 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D77CBB" w:rsidRDefault="00D77CBB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Pr="00D77CBB" w:rsidRDefault="009F1B19" w:rsidP="00D77CBB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5272B0">
        <w:rPr>
          <w:rFonts w:ascii="Century Gothic" w:hAnsi="Century Gothic" w:cs="Arial"/>
          <w:bCs/>
          <w:sz w:val="14"/>
          <w:szCs w:val="14"/>
        </w:rPr>
        <w:t>SE</w:t>
      </w:r>
      <w:r w:rsidR="0018262F">
        <w:rPr>
          <w:rFonts w:ascii="Century Gothic" w:hAnsi="Century Gothic" w:cs="Arial"/>
          <w:bCs/>
          <w:sz w:val="14"/>
          <w:szCs w:val="14"/>
        </w:rPr>
        <w:t>/AC-</w:t>
      </w:r>
      <w:r w:rsidR="004B01E0">
        <w:rPr>
          <w:rFonts w:ascii="Century Gothic" w:hAnsi="Century Gothic" w:cs="Arial"/>
          <w:bCs/>
          <w:sz w:val="14"/>
          <w:szCs w:val="14"/>
        </w:rPr>
        <w:t>64</w:t>
      </w:r>
      <w:r w:rsidR="0018262F">
        <w:rPr>
          <w:rFonts w:ascii="Century Gothic" w:hAnsi="Century Gothic" w:cs="Arial"/>
          <w:bCs/>
          <w:sz w:val="14"/>
          <w:szCs w:val="14"/>
        </w:rPr>
        <w:t>/27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, </w:t>
      </w:r>
      <w:r w:rsidR="0018262F" w:rsidRPr="0018262F">
        <w:rPr>
          <w:rFonts w:ascii="Century Gothic" w:hAnsi="Century Gothic" w:cs="Arial"/>
          <w:bCs/>
          <w:sz w:val="14"/>
          <w:szCs w:val="14"/>
        </w:rPr>
        <w:t>POR EL QUE SE DECLARA LA VALIDEZ Y CALIFICACIÓN DE LA ELECCIÓN DE AYUDANTE MUNICIPAL DEL POBLADO DE TETELA DEL MONTE, CELEB</w:t>
      </w:r>
      <w:r w:rsidR="0018262F">
        <w:rPr>
          <w:rFonts w:ascii="Century Gothic" w:hAnsi="Century Gothic" w:cs="Arial"/>
          <w:bCs/>
          <w:sz w:val="14"/>
          <w:szCs w:val="14"/>
        </w:rPr>
        <w:t>RADA EL DÍA 20 DE MARZO DE 2022</w:t>
      </w:r>
      <w:r w:rsidR="00BA65C4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p w:rsidR="005B32D1" w:rsidRDefault="004B01E0"/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05" w:rsidRDefault="00D20A05">
      <w:r>
        <w:separator/>
      </w:r>
    </w:p>
  </w:endnote>
  <w:endnote w:type="continuationSeparator" w:id="0">
    <w:p w:rsidR="00D20A05" w:rsidRDefault="00D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05" w:rsidRDefault="00D20A05">
      <w:r>
        <w:separator/>
      </w:r>
    </w:p>
  </w:footnote>
  <w:footnote w:type="continuationSeparator" w:id="0">
    <w:p w:rsidR="00D20A05" w:rsidRDefault="00D2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04ECA"/>
    <w:rsid w:val="000B2105"/>
    <w:rsid w:val="000C6BF5"/>
    <w:rsid w:val="001204DB"/>
    <w:rsid w:val="00124F42"/>
    <w:rsid w:val="001512D0"/>
    <w:rsid w:val="0018262F"/>
    <w:rsid w:val="001B493D"/>
    <w:rsid w:val="00255FF2"/>
    <w:rsid w:val="00273BAD"/>
    <w:rsid w:val="002A5F3F"/>
    <w:rsid w:val="002D11C7"/>
    <w:rsid w:val="002F1F14"/>
    <w:rsid w:val="00333AC1"/>
    <w:rsid w:val="003E27A6"/>
    <w:rsid w:val="004469F5"/>
    <w:rsid w:val="00493156"/>
    <w:rsid w:val="004B01E0"/>
    <w:rsid w:val="004D37CF"/>
    <w:rsid w:val="00502014"/>
    <w:rsid w:val="005272B0"/>
    <w:rsid w:val="00561763"/>
    <w:rsid w:val="00574DF1"/>
    <w:rsid w:val="0061779B"/>
    <w:rsid w:val="006A281F"/>
    <w:rsid w:val="006D356C"/>
    <w:rsid w:val="00701A35"/>
    <w:rsid w:val="00764AED"/>
    <w:rsid w:val="007A03BD"/>
    <w:rsid w:val="007C6E7E"/>
    <w:rsid w:val="00856867"/>
    <w:rsid w:val="008901BA"/>
    <w:rsid w:val="00940CB3"/>
    <w:rsid w:val="009D7276"/>
    <w:rsid w:val="009F1B19"/>
    <w:rsid w:val="00A05E12"/>
    <w:rsid w:val="00A13CCC"/>
    <w:rsid w:val="00A50E48"/>
    <w:rsid w:val="00AE1454"/>
    <w:rsid w:val="00B17A23"/>
    <w:rsid w:val="00B5376D"/>
    <w:rsid w:val="00B548CB"/>
    <w:rsid w:val="00B759A2"/>
    <w:rsid w:val="00BA65C4"/>
    <w:rsid w:val="00BE3F50"/>
    <w:rsid w:val="00C429BF"/>
    <w:rsid w:val="00D20A05"/>
    <w:rsid w:val="00D77651"/>
    <w:rsid w:val="00D77CBB"/>
    <w:rsid w:val="00DA0AA4"/>
    <w:rsid w:val="00DE1D07"/>
    <w:rsid w:val="00DE7031"/>
    <w:rsid w:val="00EA7F2A"/>
    <w:rsid w:val="00F64DCA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CA73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1818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2</cp:revision>
  <dcterms:created xsi:type="dcterms:W3CDTF">2022-03-28T18:44:00Z</dcterms:created>
  <dcterms:modified xsi:type="dcterms:W3CDTF">2022-03-28T18:44:00Z</dcterms:modified>
</cp:coreProperties>
</file>