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0A5817E8"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3E7F73">
              <w:rPr>
                <w:rFonts w:ascii="Arial" w:hAnsi="Arial" w:cs="Arial"/>
                <w:sz w:val="20"/>
                <w:szCs w:val="20"/>
              </w:rPr>
              <w:t>3</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6425BD3B"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Acuerdo</w:t>
            </w:r>
            <w:r w:rsidR="003E7F73">
              <w:rPr>
                <w:rFonts w:ascii="Arial" w:hAnsi="Arial" w:cs="Arial"/>
                <w:b/>
                <w:bCs/>
                <w:sz w:val="20"/>
                <w:szCs w:val="20"/>
              </w:rPr>
              <w:t xml:space="preserve"> </w:t>
            </w:r>
            <w:r w:rsidR="003E7F73" w:rsidRPr="003E7F73">
              <w:rPr>
                <w:rFonts w:ascii="Arial" w:hAnsi="Arial" w:cs="Arial"/>
                <w:b/>
                <w:bCs/>
                <w:sz w:val="20"/>
                <w:szCs w:val="20"/>
                <w:lang w:val="es-MX"/>
              </w:rPr>
              <w:t>SO/AC-210/14-XII-2022 por el que se concede pensión por orfandad a los menores Ángel Ramses Gómez López y José Alfredo Gómez López, en su carácter de hijos menores del finado pensionado Alfredo Gómez Trujillo, a través de Merit López Leana en representación de sus menores hijos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2E9863EB" w14:textId="77777777" w:rsidR="00145C67" w:rsidRDefault="00145C67" w:rsidP="0005715C">
      <w:pPr>
        <w:spacing w:line="276" w:lineRule="auto"/>
        <w:rPr>
          <w:rFonts w:ascii="Arial" w:hAnsi="Arial" w:cs="Arial"/>
          <w:b/>
          <w:bCs/>
          <w:sz w:val="26"/>
          <w:szCs w:val="26"/>
        </w:rPr>
      </w:pPr>
    </w:p>
    <w:p w14:paraId="4F47A18D" w14:textId="77777777" w:rsidR="00B00B21" w:rsidRDefault="00B00B21" w:rsidP="00C73D57">
      <w:pPr>
        <w:spacing w:line="276" w:lineRule="auto"/>
        <w:rPr>
          <w:rFonts w:ascii="Arial" w:hAnsi="Arial" w:cs="Arial"/>
          <w:b/>
          <w:bCs/>
          <w:sz w:val="26"/>
          <w:szCs w:val="26"/>
        </w:rPr>
      </w:pPr>
    </w:p>
    <w:p w14:paraId="05EE4A83" w14:textId="77777777" w:rsidR="003E7F73" w:rsidRDefault="003E7F73" w:rsidP="00477A09">
      <w:pPr>
        <w:spacing w:line="276" w:lineRule="auto"/>
        <w:jc w:val="right"/>
        <w:rPr>
          <w:rFonts w:ascii="Arial" w:hAnsi="Arial" w:cs="Arial"/>
          <w:b/>
          <w:bCs/>
          <w:sz w:val="26"/>
          <w:szCs w:val="26"/>
        </w:rPr>
      </w:pPr>
    </w:p>
    <w:p w14:paraId="0C6E6121" w14:textId="77777777" w:rsidR="003E7F73" w:rsidRDefault="003E7F73" w:rsidP="00477A09">
      <w:pPr>
        <w:spacing w:line="276" w:lineRule="auto"/>
        <w:jc w:val="right"/>
        <w:rPr>
          <w:rFonts w:ascii="Arial" w:hAnsi="Arial" w:cs="Arial"/>
          <w:b/>
          <w:bCs/>
          <w:sz w:val="26"/>
          <w:szCs w:val="26"/>
        </w:rPr>
      </w:pPr>
    </w:p>
    <w:p w14:paraId="2D8389F5" w14:textId="77777777" w:rsidR="003E7F73" w:rsidRDefault="003E7F73" w:rsidP="00477A09">
      <w:pPr>
        <w:spacing w:line="276" w:lineRule="auto"/>
        <w:jc w:val="right"/>
        <w:rPr>
          <w:rFonts w:ascii="Arial" w:hAnsi="Arial" w:cs="Arial"/>
          <w:b/>
          <w:bCs/>
          <w:sz w:val="26"/>
          <w:szCs w:val="26"/>
        </w:rPr>
      </w:pPr>
    </w:p>
    <w:p w14:paraId="4C2B05AA" w14:textId="0190DD39"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04BA2A85"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lastRenderedPageBreak/>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3E7F73" w:rsidRPr="003E7F73">
        <w:rPr>
          <w:rFonts w:ascii="Arial" w:hAnsi="Arial" w:cs="Arial"/>
          <w:b/>
          <w:bCs/>
          <w:sz w:val="26"/>
          <w:szCs w:val="26"/>
          <w:lang w:val="es-MX"/>
        </w:rPr>
        <w:t xml:space="preserve">SO/AC-210/14-XII-2022 </w:t>
      </w:r>
      <w:r w:rsidR="003E7F73" w:rsidRPr="003E7F73">
        <w:rPr>
          <w:rFonts w:ascii="Arial" w:hAnsi="Arial" w:cs="Arial"/>
          <w:b/>
          <w:bCs/>
          <w:sz w:val="26"/>
          <w:szCs w:val="26"/>
          <w:lang w:val="es-MX"/>
        </w:rPr>
        <w:t xml:space="preserve">por el que se concede pensión por orfandad a los menores </w:t>
      </w:r>
      <w:r w:rsidR="003E7F73">
        <w:rPr>
          <w:rFonts w:ascii="Arial" w:hAnsi="Arial" w:cs="Arial"/>
          <w:b/>
          <w:bCs/>
          <w:sz w:val="26"/>
          <w:szCs w:val="26"/>
          <w:lang w:val="es-MX"/>
        </w:rPr>
        <w:t>Á</w:t>
      </w:r>
      <w:r w:rsidR="003E7F73" w:rsidRPr="003E7F73">
        <w:rPr>
          <w:rFonts w:ascii="Arial" w:hAnsi="Arial" w:cs="Arial"/>
          <w:b/>
          <w:bCs/>
          <w:sz w:val="26"/>
          <w:szCs w:val="26"/>
          <w:lang w:val="es-MX"/>
        </w:rPr>
        <w:t>ngel Ramses G</w:t>
      </w:r>
      <w:r w:rsidR="003E7F73">
        <w:rPr>
          <w:rFonts w:ascii="Arial" w:hAnsi="Arial" w:cs="Arial"/>
          <w:b/>
          <w:bCs/>
          <w:sz w:val="26"/>
          <w:szCs w:val="26"/>
          <w:lang w:val="es-MX"/>
        </w:rPr>
        <w:t>ó</w:t>
      </w:r>
      <w:r w:rsidR="003E7F73" w:rsidRPr="003E7F73">
        <w:rPr>
          <w:rFonts w:ascii="Arial" w:hAnsi="Arial" w:cs="Arial"/>
          <w:b/>
          <w:bCs/>
          <w:sz w:val="26"/>
          <w:szCs w:val="26"/>
          <w:lang w:val="es-MX"/>
        </w:rPr>
        <w:t>mez L</w:t>
      </w:r>
      <w:r w:rsidR="003E7F73">
        <w:rPr>
          <w:rFonts w:ascii="Arial" w:hAnsi="Arial" w:cs="Arial"/>
          <w:b/>
          <w:bCs/>
          <w:sz w:val="26"/>
          <w:szCs w:val="26"/>
          <w:lang w:val="es-MX"/>
        </w:rPr>
        <w:t>ó</w:t>
      </w:r>
      <w:r w:rsidR="003E7F73" w:rsidRPr="003E7F73">
        <w:rPr>
          <w:rFonts w:ascii="Arial" w:hAnsi="Arial" w:cs="Arial"/>
          <w:b/>
          <w:bCs/>
          <w:sz w:val="26"/>
          <w:szCs w:val="26"/>
          <w:lang w:val="es-MX"/>
        </w:rPr>
        <w:t>pez y Jos</w:t>
      </w:r>
      <w:r w:rsidR="003E7F73">
        <w:rPr>
          <w:rFonts w:ascii="Arial" w:hAnsi="Arial" w:cs="Arial"/>
          <w:b/>
          <w:bCs/>
          <w:sz w:val="26"/>
          <w:szCs w:val="26"/>
          <w:lang w:val="es-MX"/>
        </w:rPr>
        <w:t>é</w:t>
      </w:r>
      <w:r w:rsidR="003E7F73" w:rsidRPr="003E7F73">
        <w:rPr>
          <w:rFonts w:ascii="Arial" w:hAnsi="Arial" w:cs="Arial"/>
          <w:b/>
          <w:bCs/>
          <w:sz w:val="26"/>
          <w:szCs w:val="26"/>
          <w:lang w:val="es-MX"/>
        </w:rPr>
        <w:t xml:space="preserve"> Alfredo </w:t>
      </w:r>
      <w:r w:rsidR="003E7F73" w:rsidRPr="003E7F73">
        <w:rPr>
          <w:rFonts w:ascii="Arial" w:hAnsi="Arial" w:cs="Arial"/>
          <w:b/>
          <w:bCs/>
          <w:sz w:val="26"/>
          <w:szCs w:val="26"/>
          <w:lang w:val="es-MX"/>
        </w:rPr>
        <w:t>G</w:t>
      </w:r>
      <w:r w:rsidR="003E7F73">
        <w:rPr>
          <w:rFonts w:ascii="Arial" w:hAnsi="Arial" w:cs="Arial"/>
          <w:b/>
          <w:bCs/>
          <w:sz w:val="26"/>
          <w:szCs w:val="26"/>
          <w:lang w:val="es-MX"/>
        </w:rPr>
        <w:t>ó</w:t>
      </w:r>
      <w:r w:rsidR="003E7F73" w:rsidRPr="003E7F73">
        <w:rPr>
          <w:rFonts w:ascii="Arial" w:hAnsi="Arial" w:cs="Arial"/>
          <w:b/>
          <w:bCs/>
          <w:sz w:val="26"/>
          <w:szCs w:val="26"/>
          <w:lang w:val="es-MX"/>
        </w:rPr>
        <w:t>mez L</w:t>
      </w:r>
      <w:r w:rsidR="003E7F73">
        <w:rPr>
          <w:rFonts w:ascii="Arial" w:hAnsi="Arial" w:cs="Arial"/>
          <w:b/>
          <w:bCs/>
          <w:sz w:val="26"/>
          <w:szCs w:val="26"/>
          <w:lang w:val="es-MX"/>
        </w:rPr>
        <w:t>ó</w:t>
      </w:r>
      <w:r w:rsidR="003E7F73" w:rsidRPr="003E7F73">
        <w:rPr>
          <w:rFonts w:ascii="Arial" w:hAnsi="Arial" w:cs="Arial"/>
          <w:b/>
          <w:bCs/>
          <w:sz w:val="26"/>
          <w:szCs w:val="26"/>
          <w:lang w:val="es-MX"/>
        </w:rPr>
        <w:t>pez</w:t>
      </w:r>
      <w:r w:rsidR="003E7F73" w:rsidRPr="003E7F73">
        <w:rPr>
          <w:rFonts w:ascii="Arial" w:hAnsi="Arial" w:cs="Arial"/>
          <w:b/>
          <w:bCs/>
          <w:sz w:val="26"/>
          <w:szCs w:val="26"/>
          <w:lang w:val="es-MX"/>
        </w:rPr>
        <w:t>, en su carácter de hijos menores del finado pensionado Alfredo G</w:t>
      </w:r>
      <w:r w:rsidR="003E7F73">
        <w:rPr>
          <w:rFonts w:ascii="Arial" w:hAnsi="Arial" w:cs="Arial"/>
          <w:b/>
          <w:bCs/>
          <w:sz w:val="26"/>
          <w:szCs w:val="26"/>
          <w:lang w:val="es-MX"/>
        </w:rPr>
        <w:t>ó</w:t>
      </w:r>
      <w:r w:rsidR="003E7F73" w:rsidRPr="003E7F73">
        <w:rPr>
          <w:rFonts w:ascii="Arial" w:hAnsi="Arial" w:cs="Arial"/>
          <w:b/>
          <w:bCs/>
          <w:sz w:val="26"/>
          <w:szCs w:val="26"/>
          <w:lang w:val="es-MX"/>
        </w:rPr>
        <w:t>mez Trujillo, a través de Merit L</w:t>
      </w:r>
      <w:r w:rsidR="003E7F73">
        <w:rPr>
          <w:rFonts w:ascii="Arial" w:hAnsi="Arial" w:cs="Arial"/>
          <w:b/>
          <w:bCs/>
          <w:sz w:val="26"/>
          <w:szCs w:val="26"/>
          <w:lang w:val="es-MX"/>
        </w:rPr>
        <w:t>ó</w:t>
      </w:r>
      <w:r w:rsidR="003E7F73" w:rsidRPr="003E7F73">
        <w:rPr>
          <w:rFonts w:ascii="Arial" w:hAnsi="Arial" w:cs="Arial"/>
          <w:b/>
          <w:bCs/>
          <w:sz w:val="26"/>
          <w:szCs w:val="26"/>
          <w:lang w:val="es-MX"/>
        </w:rPr>
        <w:t>pez Leana en representación de sus menores hijos</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lastRenderedPageBreak/>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77777777" w:rsidR="0005715C" w:rsidRDefault="0005715C"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8265" w14:textId="77777777" w:rsidR="00CB34D4" w:rsidRDefault="00CB34D4" w:rsidP="002F55F0">
      <w:r>
        <w:separator/>
      </w:r>
    </w:p>
  </w:endnote>
  <w:endnote w:type="continuationSeparator" w:id="0">
    <w:p w14:paraId="5C4534D5" w14:textId="77777777" w:rsidR="00CB34D4" w:rsidRDefault="00CB34D4"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4CD3" w14:textId="77777777" w:rsidR="00CB34D4" w:rsidRDefault="00CB34D4" w:rsidP="002F55F0">
      <w:r>
        <w:separator/>
      </w:r>
    </w:p>
  </w:footnote>
  <w:footnote w:type="continuationSeparator" w:id="0">
    <w:p w14:paraId="70B07B45" w14:textId="77777777" w:rsidR="00CB34D4" w:rsidRDefault="00CB34D4"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716BD"/>
    <w:rsid w:val="00E80322"/>
    <w:rsid w:val="00E81B21"/>
    <w:rsid w:val="00E9100B"/>
    <w:rsid w:val="00E92400"/>
    <w:rsid w:val="00E943D0"/>
    <w:rsid w:val="00EC538C"/>
    <w:rsid w:val="00EC7DD7"/>
    <w:rsid w:val="00ED2A6E"/>
    <w:rsid w:val="00ED362E"/>
    <w:rsid w:val="00ED47DF"/>
    <w:rsid w:val="00ED5F29"/>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191</cp:revision>
  <cp:lastPrinted>2023-01-26T17:38:00Z</cp:lastPrinted>
  <dcterms:created xsi:type="dcterms:W3CDTF">2022-01-24T17:53:00Z</dcterms:created>
  <dcterms:modified xsi:type="dcterms:W3CDTF">2023-01-26T17:38:00Z</dcterms:modified>
</cp:coreProperties>
</file>