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93" w:rsidRPr="00A925DF" w:rsidRDefault="007C18A5" w:rsidP="00120D93">
      <w:pPr>
        <w:tabs>
          <w:tab w:val="left" w:pos="6725"/>
        </w:tabs>
        <w:jc w:val="right"/>
        <w:rPr>
          <w:rFonts w:cstheme="minorHAnsi"/>
          <w:bCs/>
          <w:iCs/>
          <w:color w:val="000000"/>
        </w:rPr>
      </w:pPr>
      <w:r w:rsidRPr="00A925DF">
        <w:rPr>
          <w:rFonts w:cstheme="minorHAnsi"/>
          <w:noProof/>
          <w:lang w:eastAsia="es-MX"/>
        </w:rPr>
        <mc:AlternateContent>
          <mc:Choice Requires="wps">
            <w:drawing>
              <wp:anchor distT="45720" distB="45720" distL="114300" distR="114300" simplePos="0" relativeHeight="251659264" behindDoc="1" locked="0" layoutInCell="1" allowOverlap="1" wp14:anchorId="55D38C52" wp14:editId="2FBB07DF">
                <wp:simplePos x="0" y="0"/>
                <wp:positionH relativeFrom="margin">
                  <wp:posOffset>2315376</wp:posOffset>
                </wp:positionH>
                <wp:positionV relativeFrom="paragraph">
                  <wp:posOffset>-753828</wp:posOffset>
                </wp:positionV>
                <wp:extent cx="3012688" cy="614044"/>
                <wp:effectExtent l="0" t="0" r="1651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688" cy="614044"/>
                        </a:xfrm>
                        <a:prstGeom prst="rect">
                          <a:avLst/>
                        </a:prstGeom>
                        <a:solidFill>
                          <a:srgbClr val="FFFFFF"/>
                        </a:solidFill>
                        <a:ln w="9525">
                          <a:solidFill>
                            <a:srgbClr val="000000"/>
                          </a:solidFill>
                          <a:miter lim="800000"/>
                          <a:headEnd/>
                          <a:tailEnd/>
                        </a:ln>
                      </wps:spPr>
                      <wps:txbx>
                        <w:txbxContent>
                          <w:p w:rsidR="007C18A5" w:rsidRPr="006357D9" w:rsidRDefault="007C18A5" w:rsidP="007C18A5">
                            <w:pPr>
                              <w:rPr>
                                <w:sz w:val="22"/>
                                <w:szCs w:val="22"/>
                              </w:rPr>
                            </w:pPr>
                            <w:r w:rsidRPr="006357D9">
                              <w:rPr>
                                <w:sz w:val="22"/>
                                <w:szCs w:val="22"/>
                              </w:rPr>
                              <w:t>DEPENDENCIA: SECRETARÍA DEL AYUNTAMIEN</w:t>
                            </w:r>
                            <w:r>
                              <w:rPr>
                                <w:sz w:val="22"/>
                                <w:szCs w:val="22"/>
                              </w:rPr>
                              <w:t>T</w:t>
                            </w:r>
                            <w:r w:rsidRPr="006357D9">
                              <w:rPr>
                                <w:sz w:val="22"/>
                                <w:szCs w:val="22"/>
                              </w:rPr>
                              <w:t>O</w:t>
                            </w:r>
                          </w:p>
                          <w:p w:rsidR="007C18A5" w:rsidRDefault="007C18A5" w:rsidP="007C18A5">
                            <w:pPr>
                              <w:rPr>
                                <w:sz w:val="22"/>
                                <w:szCs w:val="22"/>
                              </w:rPr>
                            </w:pPr>
                          </w:p>
                          <w:p w:rsidR="007C18A5" w:rsidRPr="006357D9" w:rsidRDefault="007C18A5" w:rsidP="007C18A5">
                            <w:pPr>
                              <w:rPr>
                                <w:sz w:val="22"/>
                                <w:szCs w:val="22"/>
                              </w:rPr>
                            </w:pPr>
                            <w:r w:rsidRPr="006357D9">
                              <w:rPr>
                                <w:sz w:val="22"/>
                                <w:szCs w:val="22"/>
                              </w:rPr>
                              <w:t xml:space="preserve">ACUERDO: </w:t>
                            </w:r>
                            <w:r w:rsidR="00A925DF">
                              <w:rPr>
                                <w:sz w:val="22"/>
                                <w:szCs w:val="22"/>
                              </w:rPr>
                              <w:t>S</w:t>
                            </w:r>
                            <w:r w:rsidR="00CA4D4E">
                              <w:rPr>
                                <w:sz w:val="22"/>
                                <w:szCs w:val="22"/>
                              </w:rPr>
                              <w:t>O</w:t>
                            </w:r>
                            <w:r w:rsidR="00A925DF">
                              <w:rPr>
                                <w:sz w:val="22"/>
                                <w:szCs w:val="22"/>
                              </w:rPr>
                              <w:t>/AC-</w:t>
                            </w:r>
                            <w:r w:rsidR="00D76614">
                              <w:rPr>
                                <w:sz w:val="22"/>
                                <w:szCs w:val="22"/>
                              </w:rPr>
                              <w:t>301</w:t>
                            </w:r>
                            <w:r w:rsidR="00CA4D4E">
                              <w:rPr>
                                <w:sz w:val="22"/>
                                <w:szCs w:val="22"/>
                              </w:rPr>
                              <w:t>/22</w:t>
                            </w:r>
                            <w:r>
                              <w:rPr>
                                <w:sz w:val="22"/>
                                <w:szCs w:val="22"/>
                              </w:rPr>
                              <w:t>-III-2023.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38C52" id="_x0000_t202" coordsize="21600,21600" o:spt="202" path="m,l,21600r21600,l21600,xe">
                <v:stroke joinstyle="miter"/>
                <v:path gradientshapeok="t" o:connecttype="rect"/>
              </v:shapetype>
              <v:shape id="Cuadro de texto 2" o:spid="_x0000_s1026" type="#_x0000_t202" style="position:absolute;left:0;text-align:left;margin-left:182.3pt;margin-top:-59.35pt;width:237.2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">
                <v:textbox>
                  <w:txbxContent>
                    <w:p w:rsidR="007C18A5" w:rsidRPr="006357D9" w:rsidRDefault="007C18A5" w:rsidP="007C18A5">
                      <w:pPr>
                        <w:rPr>
                          <w:sz w:val="22"/>
                          <w:szCs w:val="22"/>
                        </w:rPr>
                      </w:pPr>
                      <w:r w:rsidRPr="006357D9">
                        <w:rPr>
                          <w:sz w:val="22"/>
                          <w:szCs w:val="22"/>
                        </w:rPr>
                        <w:t>DEPENDENCIA: SECRETARÍA DEL AYUNTAMIEN</w:t>
                      </w:r>
                      <w:r>
                        <w:rPr>
                          <w:sz w:val="22"/>
                          <w:szCs w:val="22"/>
                        </w:rPr>
                        <w:t>T</w:t>
                      </w:r>
                      <w:r w:rsidRPr="006357D9">
                        <w:rPr>
                          <w:sz w:val="22"/>
                          <w:szCs w:val="22"/>
                        </w:rPr>
                        <w:t>O</w:t>
                      </w:r>
                    </w:p>
                    <w:p w:rsidR="007C18A5" w:rsidRDefault="007C18A5" w:rsidP="007C18A5">
                      <w:pPr>
                        <w:rPr>
                          <w:sz w:val="22"/>
                          <w:szCs w:val="22"/>
                        </w:rPr>
                      </w:pPr>
                    </w:p>
                    <w:p w:rsidR="007C18A5" w:rsidRPr="006357D9" w:rsidRDefault="007C18A5" w:rsidP="007C18A5">
                      <w:pPr>
                        <w:rPr>
                          <w:sz w:val="22"/>
                          <w:szCs w:val="22"/>
                        </w:rPr>
                      </w:pPr>
                      <w:r w:rsidRPr="006357D9">
                        <w:rPr>
                          <w:sz w:val="22"/>
                          <w:szCs w:val="22"/>
                        </w:rPr>
                        <w:t xml:space="preserve">ACUERDO: </w:t>
                      </w:r>
                      <w:r w:rsidR="00A925DF">
                        <w:rPr>
                          <w:sz w:val="22"/>
                          <w:szCs w:val="22"/>
                        </w:rPr>
                        <w:t>S</w:t>
                      </w:r>
                      <w:r w:rsidR="00CA4D4E">
                        <w:rPr>
                          <w:sz w:val="22"/>
                          <w:szCs w:val="22"/>
                        </w:rPr>
                        <w:t>O</w:t>
                      </w:r>
                      <w:r w:rsidR="00A925DF">
                        <w:rPr>
                          <w:sz w:val="22"/>
                          <w:szCs w:val="22"/>
                        </w:rPr>
                        <w:t>/AC-</w:t>
                      </w:r>
                      <w:r w:rsidR="00D76614">
                        <w:rPr>
                          <w:sz w:val="22"/>
                          <w:szCs w:val="22"/>
                        </w:rPr>
                        <w:t>301</w:t>
                      </w:r>
                      <w:r w:rsidR="00CA4D4E">
                        <w:rPr>
                          <w:sz w:val="22"/>
                          <w:szCs w:val="22"/>
                        </w:rPr>
                        <w:t>/22</w:t>
                      </w:r>
                      <w:r>
                        <w:rPr>
                          <w:sz w:val="22"/>
                          <w:szCs w:val="22"/>
                        </w:rPr>
                        <w:t>-III-2023.</w:t>
                      </w:r>
                    </w:p>
                  </w:txbxContent>
                </v:textbox>
                <w10:wrap anchorx="margin"/>
              </v:shape>
            </w:pict>
          </mc:Fallback>
        </mc:AlternateContent>
      </w:r>
    </w:p>
    <w:p w:rsidR="00120D93" w:rsidRPr="00A925DF" w:rsidRDefault="00120D93" w:rsidP="00120D93">
      <w:pPr>
        <w:tabs>
          <w:tab w:val="left" w:pos="3585"/>
        </w:tabs>
        <w:rPr>
          <w:rFonts w:eastAsia="Yu Gothic Light" w:cstheme="minorHAnsi"/>
          <w:b/>
          <w:bCs/>
          <w:sz w:val="10"/>
          <w:szCs w:val="12"/>
          <w:lang w:val="es-ES"/>
        </w:rPr>
      </w:pPr>
      <w:r w:rsidRPr="00A925DF">
        <w:rPr>
          <w:rFonts w:cstheme="minorHAnsi"/>
          <w:b/>
          <w:bCs/>
          <w:i/>
          <w:iCs/>
          <w:color w:val="000000"/>
        </w:rPr>
        <w:tab/>
      </w:r>
    </w:p>
    <w:p w:rsidR="00120D93" w:rsidRPr="00A925DF" w:rsidRDefault="00120D93" w:rsidP="00120D93">
      <w:pPr>
        <w:tabs>
          <w:tab w:val="left" w:pos="0"/>
          <w:tab w:val="left" w:pos="2051"/>
        </w:tabs>
        <w:jc w:val="both"/>
        <w:rPr>
          <w:rFonts w:eastAsia="Gulim" w:cstheme="minorHAnsi"/>
          <w:bCs/>
        </w:rPr>
      </w:pPr>
      <w:r w:rsidRPr="00A925DF">
        <w:rPr>
          <w:rFonts w:eastAsia="Gulim" w:cstheme="minorHAnsi"/>
          <w:bCs/>
        </w:rPr>
        <w:t xml:space="preserve">JOSÉ LUIS URIÓSTEGUI SALGADO, PRESIDENTE MUNICIPAL CONSTITUCIONAL DE CUERNAVACA, MORELOS, A SUS HABITANTES SABED: </w:t>
      </w:r>
    </w:p>
    <w:p w:rsidR="00120D93" w:rsidRPr="00A925DF" w:rsidRDefault="00120D93" w:rsidP="00120D93">
      <w:pPr>
        <w:tabs>
          <w:tab w:val="left" w:pos="0"/>
          <w:tab w:val="left" w:pos="2051"/>
        </w:tabs>
        <w:jc w:val="both"/>
        <w:rPr>
          <w:rFonts w:eastAsia="Gulim" w:cstheme="minorHAnsi"/>
          <w:bCs/>
        </w:rPr>
      </w:pPr>
    </w:p>
    <w:p w:rsidR="00120D93" w:rsidRPr="00A925DF" w:rsidRDefault="00120D93" w:rsidP="00120D93">
      <w:pPr>
        <w:tabs>
          <w:tab w:val="left" w:pos="0"/>
          <w:tab w:val="left" w:pos="2051"/>
        </w:tabs>
        <w:jc w:val="both"/>
        <w:rPr>
          <w:rFonts w:eastAsia="Gulim" w:cstheme="minorHAnsi"/>
          <w:bCs/>
        </w:rPr>
      </w:pPr>
      <w:r w:rsidRPr="00A925DF">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0D93" w:rsidRPr="00A925DF" w:rsidRDefault="00120D93" w:rsidP="00120D93">
      <w:pPr>
        <w:tabs>
          <w:tab w:val="left" w:pos="0"/>
          <w:tab w:val="left" w:pos="2051"/>
        </w:tabs>
        <w:jc w:val="both"/>
        <w:rPr>
          <w:rFonts w:eastAsia="Gulim" w:cstheme="minorHAnsi"/>
          <w:bCs/>
        </w:rPr>
      </w:pPr>
    </w:p>
    <w:p w:rsidR="00120D93" w:rsidRPr="00A925DF" w:rsidRDefault="00120D93" w:rsidP="00120D93">
      <w:pPr>
        <w:tabs>
          <w:tab w:val="left" w:pos="0"/>
          <w:tab w:val="left" w:pos="2051"/>
        </w:tabs>
        <w:jc w:val="center"/>
        <w:rPr>
          <w:rFonts w:eastAsia="Gulim" w:cstheme="minorHAnsi"/>
          <w:b/>
        </w:rPr>
      </w:pPr>
      <w:r w:rsidRPr="00A925DF">
        <w:rPr>
          <w:rFonts w:eastAsia="Gulim" w:cstheme="minorHAnsi"/>
          <w:b/>
        </w:rPr>
        <w:t>CONSIDERANDO</w:t>
      </w:r>
    </w:p>
    <w:p w:rsidR="00120D93" w:rsidRPr="00A925DF" w:rsidRDefault="00120D93" w:rsidP="00120D93">
      <w:pPr>
        <w:tabs>
          <w:tab w:val="left" w:pos="0"/>
          <w:tab w:val="left" w:pos="2051"/>
        </w:tabs>
        <w:jc w:val="both"/>
        <w:rPr>
          <w:rFonts w:eastAsia="Gulim" w:cstheme="minorHAnsi"/>
          <w:bCs/>
        </w:rPr>
      </w:pPr>
    </w:p>
    <w:p w:rsidR="00120D93" w:rsidRPr="00A925DF" w:rsidRDefault="00120D93" w:rsidP="00120D93">
      <w:pPr>
        <w:pStyle w:val="NormalWeb"/>
        <w:spacing w:before="0" w:beforeAutospacing="0" w:after="240" w:afterAutospacing="0"/>
        <w:jc w:val="both"/>
        <w:rPr>
          <w:rFonts w:asciiTheme="minorHAnsi" w:hAnsiTheme="minorHAnsi" w:cstheme="minorHAnsi"/>
          <w:color w:val="000000"/>
        </w:rPr>
      </w:pPr>
      <w:r w:rsidRPr="00A925DF">
        <w:rPr>
          <w:rFonts w:asciiTheme="minorHAnsi" w:hAnsiTheme="minorHAnsi" w:cstheme="minorHAnsi"/>
          <w:color w:val="000000"/>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CA4D4E" w:rsidRPr="00CA4D4E" w:rsidRDefault="00CA4D4E" w:rsidP="00CA4D4E">
      <w:pPr>
        <w:pStyle w:val="NormalWeb"/>
        <w:spacing w:line="276" w:lineRule="auto"/>
        <w:jc w:val="both"/>
        <w:rPr>
          <w:rFonts w:asciiTheme="minorHAnsi" w:hAnsiTheme="minorHAnsi" w:cstheme="minorHAnsi"/>
        </w:rPr>
      </w:pPr>
      <w:r w:rsidRPr="00CA4D4E">
        <w:rPr>
          <w:rFonts w:asciiTheme="minorHAnsi" w:hAnsiTheme="minorHAnsi" w:cstheme="minorHAnsi"/>
        </w:rPr>
        <w:t xml:space="preserve">Que al llevar a cabo un programa de estímulos fiscales para la reactivación económica se logrará mejorar la calidad de vida de los habitantes de este municipio por que se fomentará el empleo, puesto que los empresarios mantendrán abiertos sus negocios y se contratará a personal que actualmente se encuentra desempleado, lo que traerá consigo el fortalecimiento de las finanzas municipales. </w:t>
      </w:r>
    </w:p>
    <w:p w:rsidR="00CA4D4E" w:rsidRPr="00CA4D4E" w:rsidRDefault="00CA4D4E" w:rsidP="00CA4D4E">
      <w:pPr>
        <w:jc w:val="both"/>
        <w:rPr>
          <w:rFonts w:cstheme="minorHAnsi"/>
        </w:rPr>
      </w:pPr>
      <w:r w:rsidRPr="00CA4D4E">
        <w:rPr>
          <w:rFonts w:cstheme="minorHAnsi"/>
        </w:rPr>
        <w:t xml:space="preserve">Que esta </w:t>
      </w:r>
      <w:r>
        <w:rPr>
          <w:rFonts w:cstheme="minorHAnsi"/>
        </w:rPr>
        <w:t>R</w:t>
      </w:r>
      <w:r w:rsidRPr="00CA4D4E">
        <w:rPr>
          <w:rFonts w:cstheme="minorHAnsi"/>
        </w:rPr>
        <w:t xml:space="preserve">esolución de Carácter General es una medida para apoyar e impulsar la economía del Municipio en congruencia con las políticas sociales de la actual administración, razón por la cual el Gobierno Municipal de Cuernavaca, otorga alternativas para que los contribuyentes asuman sus responsabilidades, habilitando una política recaudatoria que incentiva el pago de las contribuciones señaladas, a fin de regularizar a los contribuyentes en el cumplimiento de sus obligaciones fiscales. </w:t>
      </w:r>
    </w:p>
    <w:p w:rsidR="00CA4D4E" w:rsidRPr="00CA4D4E" w:rsidRDefault="00CA4D4E" w:rsidP="00CA4D4E">
      <w:pPr>
        <w:jc w:val="both"/>
        <w:rPr>
          <w:rFonts w:cstheme="minorHAnsi"/>
        </w:rPr>
      </w:pPr>
    </w:p>
    <w:p w:rsidR="00CA4D4E" w:rsidRPr="00CA4D4E" w:rsidRDefault="00CA4D4E" w:rsidP="00CA4D4E">
      <w:pPr>
        <w:jc w:val="both"/>
        <w:rPr>
          <w:rFonts w:cstheme="minorHAnsi"/>
        </w:rPr>
      </w:pPr>
      <w:r w:rsidRPr="00CA4D4E">
        <w:rPr>
          <w:rFonts w:cstheme="minorHAnsi"/>
        </w:rPr>
        <w:t xml:space="preserve">Que el artículo 96, en sus fracciones I y III del Código Fiscal para el Estado de Morelos en vigor, establece que el Gobernador mediante reglas de carácter general podrá condonar o eximir total o parcialmente el pago de contribuciones o productos y sus accesorios, como el caso de multas y recargos; en el mismo sentido el artículo 12 del </w:t>
      </w:r>
      <w:r w:rsidRPr="00CA4D4E">
        <w:rPr>
          <w:rFonts w:cstheme="minorHAnsi"/>
        </w:rPr>
        <w:lastRenderedPageBreak/>
        <w:t xml:space="preserve">mismo ordenamiento, establece que en la esfera municipal cuando se aluda al Gobierno del Estado, empleando las denominaciones del Gobernador, la Secretaría, el Fisco, las autoridades fiscales, las oficinas recaudadoras y otras similares, se entenderán referidas al Gobierno Municipal y a las atribuciones conferidas al Presidente Municipal, al Tesorero y demás funcionarios que tengan atribuciones en materia de recaudación y fiscalización en términos de la Ley Orgánica Municipal, dispositivos legales que interpretados en armonía, es de donde se obtiene la atribución para emitir el presente Acuerdo y conceder subsidios o estímulos fiscales. </w:t>
      </w:r>
    </w:p>
    <w:p w:rsidR="00CA4D4E" w:rsidRPr="00CA4D4E" w:rsidRDefault="00CA4D4E" w:rsidP="00CA4D4E">
      <w:pPr>
        <w:jc w:val="both"/>
        <w:rPr>
          <w:rFonts w:cstheme="minorHAnsi"/>
        </w:rPr>
      </w:pPr>
    </w:p>
    <w:p w:rsidR="00CA4D4E" w:rsidRPr="00CA4D4E" w:rsidRDefault="00CA4D4E" w:rsidP="00CA4D4E">
      <w:pPr>
        <w:jc w:val="both"/>
        <w:rPr>
          <w:rFonts w:cstheme="minorHAnsi"/>
        </w:rPr>
      </w:pPr>
      <w:r w:rsidRPr="00CA4D4E">
        <w:rPr>
          <w:rFonts w:cstheme="minorHAnsi"/>
        </w:rPr>
        <w:t xml:space="preserve">El </w:t>
      </w:r>
      <w:r>
        <w:rPr>
          <w:rFonts w:cstheme="minorHAnsi"/>
        </w:rPr>
        <w:t>presente a</w:t>
      </w:r>
      <w:r w:rsidRPr="00CA4D4E">
        <w:rPr>
          <w:rFonts w:cstheme="minorHAnsi"/>
        </w:rPr>
        <w:t xml:space="preserve">cuerdo tiene como finalidad establecer una campaña de estímulos fiscales que consiste en otorgar a los contribuyentes el 100% en el pago de los Derechos que se causen por los </w:t>
      </w:r>
      <w:r w:rsidRPr="00CA4D4E">
        <w:rPr>
          <w:rFonts w:cstheme="minorHAnsi"/>
          <w:b/>
        </w:rPr>
        <w:t>refrendos por unidad</w:t>
      </w:r>
      <w:r w:rsidRPr="00CA4D4E">
        <w:rPr>
          <w:rFonts w:cstheme="minorHAnsi"/>
        </w:rPr>
        <w:t xml:space="preserve"> </w:t>
      </w:r>
      <w:r w:rsidRPr="003D6EC0">
        <w:rPr>
          <w:rFonts w:cstheme="minorHAnsi"/>
          <w:b/>
        </w:rPr>
        <w:t>en las licencias de anuncios</w:t>
      </w:r>
      <w:r w:rsidR="00F37545" w:rsidRPr="003D6EC0">
        <w:rPr>
          <w:rFonts w:cstheme="minorHAnsi"/>
          <w:b/>
        </w:rPr>
        <w:t xml:space="preserve"> en vía pública</w:t>
      </w:r>
      <w:r w:rsidRPr="00CA4D4E">
        <w:rPr>
          <w:rFonts w:cstheme="minorHAnsi"/>
        </w:rPr>
        <w:t>,</w:t>
      </w:r>
      <w:r w:rsidR="00F37545">
        <w:rPr>
          <w:rFonts w:cstheme="minorHAnsi"/>
        </w:rPr>
        <w:t xml:space="preserve"> particularmente a los que no hayan sido colocados,</w:t>
      </w:r>
      <w:r w:rsidRPr="00CA4D4E">
        <w:rPr>
          <w:rFonts w:cstheme="minorHAnsi"/>
        </w:rPr>
        <w:t xml:space="preserve"> así como en las multas y recargos que se hayan generado por los ejercicios fiscales del 2018 al 2022, teniendo una vigencia hasta el </w:t>
      </w:r>
      <w:r w:rsidR="00F37545">
        <w:rPr>
          <w:rFonts w:cstheme="minorHAnsi"/>
        </w:rPr>
        <w:t>31 de mayo</w:t>
      </w:r>
      <w:r w:rsidRPr="00CA4D4E">
        <w:rPr>
          <w:rFonts w:cstheme="minorHAnsi"/>
        </w:rPr>
        <w:t xml:space="preserve"> de 2023.  </w:t>
      </w:r>
    </w:p>
    <w:p w:rsidR="00CA4D4E" w:rsidRPr="00CA4D4E" w:rsidRDefault="00CA4D4E" w:rsidP="00CA4D4E">
      <w:pPr>
        <w:jc w:val="both"/>
        <w:rPr>
          <w:rFonts w:cstheme="minorHAnsi"/>
        </w:rPr>
      </w:pPr>
    </w:p>
    <w:p w:rsidR="00CA4D4E" w:rsidRPr="00CA4D4E" w:rsidRDefault="00CA4D4E" w:rsidP="00CA4D4E">
      <w:pPr>
        <w:jc w:val="both"/>
        <w:rPr>
          <w:rFonts w:cstheme="minorHAnsi"/>
        </w:rPr>
      </w:pPr>
      <w:r w:rsidRPr="00CA4D4E">
        <w:rPr>
          <w:rFonts w:cstheme="minorHAnsi"/>
        </w:rPr>
        <w:t>Por lo anteriormente expuesto y fundado, este Cuerpo Colegiado ha tenido a bien aprobar el presente</w:t>
      </w:r>
      <w:r w:rsidR="009D38AC">
        <w:rPr>
          <w:rFonts w:cstheme="minorHAnsi"/>
        </w:rPr>
        <w:t>:</w:t>
      </w:r>
    </w:p>
    <w:p w:rsidR="00CA4D4E" w:rsidRPr="00CA4D4E" w:rsidRDefault="00CA4D4E" w:rsidP="00CA4D4E">
      <w:pPr>
        <w:rPr>
          <w:rFonts w:cstheme="minorHAnsi"/>
        </w:rPr>
      </w:pPr>
    </w:p>
    <w:p w:rsidR="00CA4D4E" w:rsidRPr="00CA4D4E" w:rsidRDefault="00CA4D4E" w:rsidP="00CA4D4E">
      <w:pPr>
        <w:jc w:val="center"/>
        <w:rPr>
          <w:rFonts w:cstheme="minorHAnsi"/>
          <w:b/>
        </w:rPr>
      </w:pPr>
      <w:r w:rsidRPr="00CA4D4E">
        <w:rPr>
          <w:rFonts w:cstheme="minorHAnsi"/>
          <w:b/>
        </w:rPr>
        <w:t>ACUERDO</w:t>
      </w:r>
    </w:p>
    <w:p w:rsidR="00CA4D4E" w:rsidRPr="00CA4D4E" w:rsidRDefault="00D76614" w:rsidP="00CA4D4E">
      <w:pPr>
        <w:jc w:val="center"/>
        <w:rPr>
          <w:rFonts w:cstheme="minorHAnsi"/>
          <w:b/>
        </w:rPr>
      </w:pPr>
      <w:r>
        <w:rPr>
          <w:rFonts w:cstheme="minorHAnsi"/>
          <w:b/>
        </w:rPr>
        <w:t>SO/AC-301</w:t>
      </w:r>
      <w:r w:rsidR="00CA4D4E" w:rsidRPr="00CA4D4E">
        <w:rPr>
          <w:rFonts w:cstheme="minorHAnsi"/>
          <w:b/>
        </w:rPr>
        <w:t>/</w:t>
      </w:r>
      <w:r w:rsidR="00CA4D4E">
        <w:rPr>
          <w:rFonts w:cstheme="minorHAnsi"/>
          <w:b/>
        </w:rPr>
        <w:t>22-III</w:t>
      </w:r>
      <w:r w:rsidR="00CA4D4E" w:rsidRPr="00CA4D4E">
        <w:rPr>
          <w:rFonts w:cstheme="minorHAnsi"/>
          <w:b/>
        </w:rPr>
        <w:t>-2023</w:t>
      </w:r>
    </w:p>
    <w:p w:rsidR="00CA4D4E" w:rsidRPr="00CA4D4E" w:rsidRDefault="00CA4D4E" w:rsidP="00CA4D4E">
      <w:pPr>
        <w:rPr>
          <w:rFonts w:cstheme="minorHAnsi"/>
        </w:rPr>
      </w:pPr>
    </w:p>
    <w:p w:rsidR="00CA4D4E" w:rsidRPr="00CA4D4E" w:rsidRDefault="00F37545" w:rsidP="00CA4D4E">
      <w:pPr>
        <w:jc w:val="both"/>
        <w:rPr>
          <w:rFonts w:cstheme="minorHAnsi"/>
        </w:rPr>
      </w:pPr>
      <w:r w:rsidRPr="00F37545">
        <w:rPr>
          <w:rFonts w:cstheme="minorHAnsi"/>
          <w:b/>
        </w:rPr>
        <w:t>POR EL QUE SE AUTORIZA AL PRESIDENTE MUNICIPAL O A QUIEN ESTE TENGA A BIEN DESIGNAR, LA APLICACIÓN DE UN ESTÍMULO FISCAL DEL 100% EN EL PAGO DE LOS DERECHOS QUE SE CAUSEN POR LOS REFRENDOS POR CADA UNIDAD, EN LAS LICENCIAS DE ANUNCIOS EN VIA PÚBLICA, PARTICULARMENTE A LOS QUE NO FUERON COLOCADOS, ASÍ COMO EN LAS MULTAS Y RECARGOS QUE SE HAYAN GENERADO POR LOS EJERCICIOS FISCALES DEL 2018 AL 2022, TENIENDO UNA VIGENCIA HASTA EL 31 DE MAYO DE 2023; RINDIENDO EL INFORME CORRESPONDIENTE A LAS Y LOS INTEGRANTES DEL CABILDO SOBRE APLICACIÓN DEL ESTÍMULO</w:t>
      </w:r>
      <w:r>
        <w:rPr>
          <w:rFonts w:cstheme="minorHAnsi"/>
          <w:b/>
        </w:rPr>
        <w:t>.</w:t>
      </w:r>
    </w:p>
    <w:p w:rsidR="00CA4D4E" w:rsidRPr="00CA4D4E" w:rsidRDefault="00CA4D4E" w:rsidP="00CA4D4E">
      <w:pPr>
        <w:jc w:val="both"/>
        <w:rPr>
          <w:rFonts w:cstheme="minorHAnsi"/>
          <w:b/>
        </w:rPr>
      </w:pPr>
    </w:p>
    <w:p w:rsidR="00CA4D4E" w:rsidRDefault="00CA4D4E" w:rsidP="00CA4D4E">
      <w:pPr>
        <w:jc w:val="both"/>
        <w:rPr>
          <w:rFonts w:cstheme="minorHAnsi"/>
        </w:rPr>
      </w:pPr>
      <w:r w:rsidRPr="00CA4D4E">
        <w:rPr>
          <w:rFonts w:cstheme="minorHAnsi"/>
          <w:b/>
        </w:rPr>
        <w:t>ARTÍCULO PRIMERO.</w:t>
      </w:r>
      <w:r w:rsidRPr="00CA4D4E">
        <w:rPr>
          <w:rFonts w:cstheme="minorHAnsi"/>
        </w:rPr>
        <w:t xml:space="preserve"> Se autoriza al Presidente Municipal y/o a la persona que tenga a bien designar, para la aplicación de un estímulo fiscal del 100% en el pago de los derechos que se hayan causado o se causen por el refrendo por unidad en las licencias de anuncios </w:t>
      </w:r>
      <w:r w:rsidR="00F37545">
        <w:rPr>
          <w:rFonts w:cstheme="minorHAnsi"/>
        </w:rPr>
        <w:t>en vía pública</w:t>
      </w:r>
      <w:r w:rsidRPr="00CA4D4E">
        <w:rPr>
          <w:rFonts w:cstheme="minorHAnsi"/>
        </w:rPr>
        <w:t>,</w:t>
      </w:r>
      <w:r w:rsidR="00F37545">
        <w:rPr>
          <w:rFonts w:cstheme="minorHAnsi"/>
        </w:rPr>
        <w:t xml:space="preserve"> particularmente los que no hayan sido colocados</w:t>
      </w:r>
      <w:r w:rsidRPr="00CA4D4E">
        <w:rPr>
          <w:rFonts w:cstheme="minorHAnsi"/>
        </w:rPr>
        <w:t xml:space="preserve"> así como en las multas y recargos que se hayan generado por los ejercicios fiscales del 2018 al 2022; de conformidad con lo señalado en el artículo 96 fracciones I y III del Código Fiscal para el Estado de Morelos.</w:t>
      </w:r>
    </w:p>
    <w:p w:rsidR="00CA4D4E" w:rsidRPr="00CA4D4E" w:rsidRDefault="00CA4D4E" w:rsidP="00CA4D4E">
      <w:pPr>
        <w:spacing w:line="276" w:lineRule="auto"/>
        <w:jc w:val="both"/>
        <w:rPr>
          <w:rFonts w:cstheme="minorHAnsi"/>
        </w:rPr>
      </w:pPr>
    </w:p>
    <w:p w:rsidR="00CA4D4E" w:rsidRPr="00CA4D4E" w:rsidRDefault="00CA4D4E" w:rsidP="00CA4D4E">
      <w:pPr>
        <w:spacing w:line="276" w:lineRule="auto"/>
        <w:jc w:val="both"/>
        <w:rPr>
          <w:rFonts w:cstheme="minorHAnsi"/>
        </w:rPr>
      </w:pPr>
      <w:r w:rsidRPr="00CA4D4E">
        <w:rPr>
          <w:rFonts w:cstheme="minorHAnsi"/>
        </w:rPr>
        <w:lastRenderedPageBreak/>
        <w:t>Para la procedencia del estímulo, los contribuyentes deberán pagar sus derechos de refrendo por unidad respecto del ejercicio fiscal 2023.</w:t>
      </w:r>
    </w:p>
    <w:p w:rsidR="00CA4D4E" w:rsidRPr="00CA4D4E" w:rsidRDefault="00CA4D4E" w:rsidP="00CA4D4E">
      <w:pPr>
        <w:spacing w:line="276" w:lineRule="auto"/>
        <w:jc w:val="both"/>
        <w:rPr>
          <w:rFonts w:cstheme="minorHAnsi"/>
        </w:rPr>
      </w:pPr>
    </w:p>
    <w:p w:rsidR="00CA4D4E" w:rsidRPr="00CA4D4E" w:rsidRDefault="00CA4D4E" w:rsidP="00CA4D4E">
      <w:pPr>
        <w:spacing w:line="276" w:lineRule="auto"/>
        <w:jc w:val="both"/>
        <w:rPr>
          <w:rFonts w:cstheme="minorHAnsi"/>
        </w:rPr>
      </w:pPr>
      <w:r w:rsidRPr="00CA4D4E">
        <w:rPr>
          <w:rFonts w:cstheme="minorHAnsi"/>
          <w:b/>
        </w:rPr>
        <w:t xml:space="preserve">ARTÍCULO SEGUNDO. </w:t>
      </w:r>
      <w:r w:rsidRPr="00CA4D4E">
        <w:rPr>
          <w:rFonts w:cstheme="minorHAnsi"/>
        </w:rPr>
        <w:t xml:space="preserve">La vigencia del estímulo fiscal será hasta el </w:t>
      </w:r>
      <w:r w:rsidR="00F37545">
        <w:rPr>
          <w:rFonts w:cstheme="minorHAnsi"/>
        </w:rPr>
        <w:t>31 de mayo</w:t>
      </w:r>
      <w:r w:rsidRPr="00CA4D4E">
        <w:rPr>
          <w:rFonts w:cstheme="minorHAnsi"/>
        </w:rPr>
        <w:t xml:space="preserve"> de 2023.</w:t>
      </w:r>
    </w:p>
    <w:p w:rsidR="00CA4D4E" w:rsidRPr="00CA4D4E" w:rsidRDefault="00CA4D4E" w:rsidP="00CA4D4E">
      <w:pPr>
        <w:spacing w:line="276" w:lineRule="auto"/>
        <w:jc w:val="both"/>
        <w:rPr>
          <w:rFonts w:cstheme="minorHAnsi"/>
          <w:b/>
        </w:rPr>
      </w:pPr>
    </w:p>
    <w:p w:rsidR="00CA4D4E" w:rsidRPr="00CA4D4E" w:rsidRDefault="00CA4D4E" w:rsidP="00CA4D4E">
      <w:pPr>
        <w:spacing w:line="276" w:lineRule="auto"/>
        <w:jc w:val="both"/>
        <w:rPr>
          <w:rFonts w:cstheme="minorHAnsi"/>
        </w:rPr>
      </w:pPr>
      <w:r w:rsidRPr="00CA4D4E">
        <w:rPr>
          <w:rFonts w:cstheme="minorHAnsi"/>
          <w:b/>
        </w:rPr>
        <w:t xml:space="preserve">ARTÍCULO TERCERO. </w:t>
      </w:r>
      <w:r w:rsidRPr="00CA4D4E">
        <w:rPr>
          <w:rFonts w:cstheme="minorHAnsi"/>
        </w:rPr>
        <w:t xml:space="preserve">Se instruye a la Tesorería Municipal rendir informe correspondiente a las y los integrantes del Cabildo sobre la aplicación del estímulo que se otorgue. </w:t>
      </w:r>
    </w:p>
    <w:p w:rsidR="00CA4D4E" w:rsidRPr="00CA4D4E" w:rsidRDefault="00CA4D4E" w:rsidP="00CA4D4E">
      <w:pPr>
        <w:spacing w:line="276" w:lineRule="auto"/>
        <w:jc w:val="both"/>
        <w:rPr>
          <w:rFonts w:cstheme="minorHAnsi"/>
          <w:b/>
        </w:rPr>
      </w:pPr>
    </w:p>
    <w:p w:rsidR="00CA4D4E" w:rsidRPr="00CA4D4E" w:rsidRDefault="00CA4D4E" w:rsidP="00CA4D4E">
      <w:pPr>
        <w:spacing w:line="276" w:lineRule="auto"/>
        <w:jc w:val="both"/>
        <w:rPr>
          <w:rFonts w:cstheme="minorHAnsi"/>
        </w:rPr>
      </w:pPr>
      <w:r w:rsidRPr="00CA4D4E">
        <w:rPr>
          <w:rFonts w:cstheme="minorHAnsi"/>
          <w:b/>
        </w:rPr>
        <w:t xml:space="preserve">ARTÍCULO CUARTO. </w:t>
      </w:r>
      <w:r w:rsidRPr="00CA4D4E">
        <w:rPr>
          <w:rFonts w:cstheme="minorHAnsi"/>
        </w:rPr>
        <w:t>El beneficio autorizado mediante el presente Acuerdo, no otorga el derecho a devolución, reducción, disminución, condonación, deducción o compensación alguna, con respecto a las cantidades efectivamente pagadas.</w:t>
      </w:r>
    </w:p>
    <w:p w:rsidR="00CA4D4E" w:rsidRPr="00CA4D4E" w:rsidRDefault="00CA4D4E" w:rsidP="00CA4D4E">
      <w:pPr>
        <w:spacing w:line="276" w:lineRule="auto"/>
        <w:jc w:val="both"/>
        <w:rPr>
          <w:rFonts w:cstheme="minorHAnsi"/>
          <w:b/>
        </w:rPr>
      </w:pPr>
    </w:p>
    <w:p w:rsidR="00CA4D4E" w:rsidRPr="00CA4D4E" w:rsidRDefault="00CA4D4E" w:rsidP="00CA4D4E">
      <w:pPr>
        <w:spacing w:line="276" w:lineRule="auto"/>
        <w:jc w:val="both"/>
        <w:rPr>
          <w:rFonts w:cstheme="minorHAnsi"/>
        </w:rPr>
      </w:pPr>
      <w:r w:rsidRPr="00CA4D4E">
        <w:rPr>
          <w:rFonts w:cstheme="minorHAnsi"/>
          <w:b/>
        </w:rPr>
        <w:t xml:space="preserve">ARTICULO QUINTO. </w:t>
      </w:r>
      <w:r w:rsidRPr="00CA4D4E">
        <w:rPr>
          <w:rFonts w:cstheme="minorHAnsi"/>
        </w:rPr>
        <w:t>La interpretación del presente Acuerdo para efectos administrativos y fiscales a que haya lugar, corresponderá a la Tesorería Municipal.</w:t>
      </w:r>
    </w:p>
    <w:p w:rsidR="00CA4D4E" w:rsidRPr="00CA4D4E" w:rsidRDefault="00CA4D4E" w:rsidP="00CA4D4E">
      <w:pPr>
        <w:spacing w:line="276" w:lineRule="auto"/>
        <w:jc w:val="both"/>
        <w:rPr>
          <w:rFonts w:cstheme="minorHAnsi"/>
          <w:b/>
        </w:rPr>
      </w:pPr>
    </w:p>
    <w:p w:rsidR="00CA4D4E" w:rsidRPr="00CA4D4E" w:rsidRDefault="00CA4D4E" w:rsidP="00CA4D4E">
      <w:pPr>
        <w:spacing w:line="276" w:lineRule="auto"/>
        <w:jc w:val="both"/>
        <w:rPr>
          <w:rFonts w:cstheme="minorHAnsi"/>
        </w:rPr>
      </w:pPr>
      <w:r w:rsidRPr="00CA4D4E">
        <w:rPr>
          <w:rFonts w:cstheme="minorHAnsi"/>
          <w:b/>
        </w:rPr>
        <w:t xml:space="preserve">ARTÍCULO SEXTO. </w:t>
      </w:r>
      <w:r w:rsidRPr="00CA4D4E">
        <w:rPr>
          <w:rFonts w:cstheme="minorHAnsi"/>
        </w:rPr>
        <w:t>Túrnese a la Tesorería Municipal y a las Unidades Administrativas correspondientes, para que realicen todos los trámites conducentes para el cumplimiento del presente Acuerdo.</w:t>
      </w:r>
    </w:p>
    <w:p w:rsidR="00CA4D4E" w:rsidRPr="00CA4D4E" w:rsidRDefault="00CA4D4E" w:rsidP="00CA4D4E">
      <w:pPr>
        <w:spacing w:line="276" w:lineRule="auto"/>
        <w:jc w:val="both"/>
        <w:rPr>
          <w:rFonts w:cstheme="minorHAnsi"/>
          <w:b/>
        </w:rPr>
      </w:pPr>
    </w:p>
    <w:p w:rsidR="00CA4D4E" w:rsidRPr="00CA4D4E" w:rsidRDefault="00CA4D4E" w:rsidP="00CA4D4E">
      <w:pPr>
        <w:spacing w:line="276" w:lineRule="auto"/>
        <w:jc w:val="both"/>
        <w:rPr>
          <w:rFonts w:cstheme="minorHAnsi"/>
        </w:rPr>
      </w:pPr>
      <w:r w:rsidRPr="00CA4D4E">
        <w:rPr>
          <w:rFonts w:cstheme="minorHAnsi"/>
          <w:b/>
        </w:rPr>
        <w:t xml:space="preserve">ARTICULO SÉPTIMO. </w:t>
      </w:r>
      <w:r w:rsidRPr="00CA4D4E">
        <w:rPr>
          <w:rFonts w:cstheme="minorHAnsi"/>
        </w:rPr>
        <w:t>Se Instruye al Director General de Comunicación Social, para realizar campaña de difusión para publicitar los subsidios fiscales del presente Acuerdo.</w:t>
      </w:r>
    </w:p>
    <w:p w:rsidR="00CA4D4E" w:rsidRPr="00CA4D4E" w:rsidRDefault="00CA4D4E" w:rsidP="00CA4D4E">
      <w:pPr>
        <w:jc w:val="both"/>
        <w:rPr>
          <w:rFonts w:cstheme="minorHAnsi"/>
        </w:rPr>
      </w:pPr>
    </w:p>
    <w:p w:rsidR="004F20A9" w:rsidRDefault="00120D93" w:rsidP="004F20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center"/>
        <w:rPr>
          <w:rFonts w:eastAsia="Gulim" w:cstheme="minorHAnsi"/>
          <w:b/>
          <w:iCs/>
          <w:color w:val="000000"/>
        </w:rPr>
      </w:pPr>
      <w:r w:rsidRPr="00A925DF">
        <w:rPr>
          <w:rFonts w:eastAsia="Gulim" w:cstheme="minorHAnsi"/>
          <w:b/>
          <w:iCs/>
          <w:color w:val="000000"/>
        </w:rPr>
        <w:t>TRANSITORIOS</w:t>
      </w:r>
      <w:r w:rsidR="004F20A9">
        <w:rPr>
          <w:rFonts w:eastAsia="Gulim" w:cstheme="minorHAnsi"/>
          <w:b/>
          <w:iCs/>
          <w:color w:val="000000"/>
        </w:rPr>
        <w:br/>
      </w:r>
    </w:p>
    <w:p w:rsidR="00120D93" w:rsidRPr="00A925DF" w:rsidRDefault="00CA4D4E" w:rsidP="000509A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iCs/>
          <w:color w:val="000000"/>
        </w:rPr>
      </w:pPr>
      <w:r w:rsidRPr="00A925DF">
        <w:rPr>
          <w:rFonts w:eastAsia="Gulim" w:cstheme="minorHAnsi"/>
          <w:b/>
          <w:iCs/>
          <w:color w:val="000000"/>
        </w:rPr>
        <w:t>PRIMERO. -</w:t>
      </w:r>
      <w:r w:rsidR="00120D93" w:rsidRPr="00A925DF">
        <w:rPr>
          <w:rFonts w:eastAsia="Gulim" w:cstheme="minorHAnsi"/>
          <w:b/>
          <w:iCs/>
          <w:color w:val="000000"/>
        </w:rPr>
        <w:t xml:space="preserve"> </w:t>
      </w:r>
      <w:r w:rsidR="00120D93" w:rsidRPr="00A925DF">
        <w:rPr>
          <w:rFonts w:eastAsia="Gulim" w:cstheme="minorHAnsi"/>
          <w:iCs/>
          <w:color w:val="000000"/>
        </w:rPr>
        <w:t>El presente Acuerdo entrará en vigor el día de su aprobación por el Cabildo de Cuernavaca.</w:t>
      </w:r>
    </w:p>
    <w:p w:rsidR="00120D93" w:rsidRPr="00A925DF" w:rsidRDefault="00120D93" w:rsidP="00120D9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
          <w:iCs/>
          <w:color w:val="000000"/>
        </w:rPr>
      </w:pPr>
    </w:p>
    <w:p w:rsidR="00120D93" w:rsidRPr="00A925DF" w:rsidRDefault="00CA4D4E" w:rsidP="00120D9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iCs/>
          <w:color w:val="000000"/>
        </w:rPr>
      </w:pPr>
      <w:r w:rsidRPr="00A925DF">
        <w:rPr>
          <w:rFonts w:eastAsia="Gulim" w:cstheme="minorHAnsi"/>
          <w:b/>
          <w:iCs/>
          <w:color w:val="000000"/>
        </w:rPr>
        <w:t>SEGUNDO. -</w:t>
      </w:r>
      <w:r w:rsidR="00120D93" w:rsidRPr="00A925DF">
        <w:rPr>
          <w:rFonts w:eastAsia="Gulim" w:cstheme="minorHAnsi"/>
          <w:b/>
          <w:iCs/>
          <w:color w:val="000000"/>
        </w:rPr>
        <w:t xml:space="preserve"> </w:t>
      </w:r>
      <w:r w:rsidR="00120D93" w:rsidRPr="00A925DF">
        <w:rPr>
          <w:rFonts w:eastAsia="Gulim" w:cstheme="minorHAnsi"/>
          <w:iCs/>
          <w:color w:val="000000"/>
        </w:rPr>
        <w:t xml:space="preserve">Publíquese el presente Acuerdo en el Periódico Oficial “Tierra y Libertad” Órgano de difusión del Gobierno del Estado de Morelos, y en la Gaceta Municipal. </w:t>
      </w:r>
    </w:p>
    <w:p w:rsidR="00120D93" w:rsidRPr="00A925DF" w:rsidRDefault="00120D93" w:rsidP="00120D9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120D93" w:rsidRDefault="00120D93" w:rsidP="00120D9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A925DF">
        <w:rPr>
          <w:rFonts w:eastAsia="Gulim" w:cstheme="minorHAnsi"/>
          <w:bCs/>
        </w:rPr>
        <w:t xml:space="preserve">Dado en el Museo de la ciudad de Cuernavaca, en la Ciudad de Cuernavaca, Morelos, a los </w:t>
      </w:r>
      <w:r w:rsidR="00CA4D4E">
        <w:rPr>
          <w:rFonts w:eastAsia="Gulim" w:cstheme="minorHAnsi"/>
          <w:bCs/>
        </w:rPr>
        <w:t xml:space="preserve">veintidós </w:t>
      </w:r>
      <w:r w:rsidRPr="00A925DF">
        <w:rPr>
          <w:rFonts w:eastAsia="Gulim" w:cstheme="minorHAnsi"/>
          <w:bCs/>
        </w:rPr>
        <w:t xml:space="preserve">días del mes de </w:t>
      </w:r>
      <w:r w:rsidR="007C18A5" w:rsidRPr="00A925DF">
        <w:rPr>
          <w:rFonts w:eastAsia="Gulim" w:cstheme="minorHAnsi"/>
          <w:bCs/>
        </w:rPr>
        <w:t>marzo del año dos mil veintitrés</w:t>
      </w:r>
      <w:r w:rsidRPr="00A925DF">
        <w:rPr>
          <w:rFonts w:eastAsia="Gulim" w:cstheme="minorHAnsi"/>
          <w:bCs/>
        </w:rPr>
        <w:t>.</w:t>
      </w:r>
    </w:p>
    <w:p w:rsidR="00F37545" w:rsidRPr="00A925DF" w:rsidRDefault="00F37545" w:rsidP="00120D9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56A21" w:rsidRPr="00A925DF" w:rsidRDefault="00E56A21" w:rsidP="00E56A21">
      <w:pPr>
        <w:tabs>
          <w:tab w:val="left" w:pos="10065"/>
          <w:tab w:val="left" w:pos="10206"/>
        </w:tabs>
        <w:jc w:val="center"/>
        <w:rPr>
          <w:rFonts w:eastAsia="Gulim" w:cstheme="minorHAnsi"/>
          <w:b/>
        </w:rPr>
      </w:pP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lastRenderedPageBreak/>
        <w:t>ATENTAMENTE</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PRESIDENTE MUNICIPAL DE CUERNAVACA</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JOSÉ LUIS URIOSTEGUI SALGADO.</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SÍNDICA MUNICIPAL</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CATALINA VERÓNICA ATENCO PÉREZ.</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CC. REGIDORES:</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VÍCTOR ADRIÁN MARTÍNEZ TERRAZAS.</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PAZ HERNÁNDEZ PARDO.</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JESÚS RAÚL FERNANDO CARILLO ALVARADO.</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DEBENDRENATH SALAZAR SOLORIO.</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PATRICIA LUCIA TORRES ROSALES</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JESÚS TLACAELEL ROSALES PUEBLA.</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VÍCTOR HUGO MANZO GODÍNEZ.</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CHRISTIAN MISHELL PÉREZ JAIMES.</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MARÍA WENDI SALINAS RUÍZ.</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MIRNA MIREYA DELGADO ROMERO.</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YAZMÍN LUCERO CUENCA NORIA.</w:t>
      </w:r>
    </w:p>
    <w:p w:rsidR="007C18A5" w:rsidRPr="00F37545" w:rsidRDefault="007C18A5" w:rsidP="007C18A5">
      <w:pPr>
        <w:tabs>
          <w:tab w:val="left" w:pos="5162"/>
        </w:tabs>
        <w:jc w:val="center"/>
        <w:rPr>
          <w:rFonts w:eastAsia="Gulim" w:cstheme="minorHAnsi"/>
          <w:b/>
          <w:sz w:val="20"/>
        </w:rPr>
      </w:pPr>
      <w:r w:rsidRPr="00F37545">
        <w:rPr>
          <w:rFonts w:eastAsia="Gulim" w:cstheme="minorHAnsi"/>
          <w:b/>
          <w:sz w:val="20"/>
        </w:rPr>
        <w:t>SECRETARIO DEL AYUNTAMIENTO</w:t>
      </w:r>
    </w:p>
    <w:p w:rsidR="00296E3A" w:rsidRPr="00F37545" w:rsidRDefault="007C18A5" w:rsidP="007C18A5">
      <w:pPr>
        <w:tabs>
          <w:tab w:val="left" w:pos="5162"/>
        </w:tabs>
        <w:jc w:val="center"/>
        <w:rPr>
          <w:rFonts w:eastAsia="Gulim" w:cstheme="minorHAnsi"/>
          <w:b/>
          <w:sz w:val="20"/>
        </w:rPr>
      </w:pPr>
      <w:r w:rsidRPr="00F37545">
        <w:rPr>
          <w:rFonts w:eastAsia="Gulim" w:cstheme="minorHAnsi"/>
          <w:b/>
          <w:sz w:val="20"/>
        </w:rPr>
        <w:t>CARLOS DE LA ROSA SEGURA.</w:t>
      </w:r>
    </w:p>
    <w:p w:rsidR="002344A5" w:rsidRPr="00A925DF" w:rsidRDefault="002344A5" w:rsidP="007C18A5">
      <w:pPr>
        <w:tabs>
          <w:tab w:val="left" w:pos="5162"/>
        </w:tabs>
        <w:jc w:val="center"/>
        <w:rPr>
          <w:rFonts w:eastAsia="Gulim" w:cstheme="minorHAnsi"/>
          <w:b/>
        </w:rPr>
      </w:pPr>
    </w:p>
    <w:p w:rsidR="00120D93" w:rsidRPr="003D6EC0" w:rsidRDefault="00120D93" w:rsidP="00120D93">
      <w:pPr>
        <w:tabs>
          <w:tab w:val="left" w:pos="10065"/>
          <w:tab w:val="left" w:pos="10206"/>
        </w:tabs>
        <w:jc w:val="both"/>
        <w:rPr>
          <w:rFonts w:eastAsia="Gulim" w:cstheme="minorHAnsi"/>
          <w:sz w:val="20"/>
        </w:rPr>
      </w:pPr>
      <w:r w:rsidRPr="003D6EC0">
        <w:rPr>
          <w:rFonts w:eastAsia="Gulim" w:cstheme="minorHAnsi"/>
          <w:sz w:val="20"/>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37545" w:rsidRDefault="00F37545" w:rsidP="002344A5">
      <w:pPr>
        <w:tabs>
          <w:tab w:val="left" w:pos="10065"/>
          <w:tab w:val="left" w:pos="10206"/>
        </w:tabs>
        <w:jc w:val="center"/>
        <w:rPr>
          <w:rFonts w:eastAsia="Gulim" w:cstheme="minorHAnsi"/>
          <w:b/>
        </w:rPr>
      </w:pPr>
    </w:p>
    <w:p w:rsidR="002344A5" w:rsidRPr="00A925DF" w:rsidRDefault="002344A5" w:rsidP="002344A5">
      <w:pPr>
        <w:tabs>
          <w:tab w:val="left" w:pos="10065"/>
          <w:tab w:val="left" w:pos="10206"/>
        </w:tabs>
        <w:jc w:val="center"/>
        <w:rPr>
          <w:rFonts w:eastAsia="Gulim" w:cstheme="minorHAnsi"/>
          <w:b/>
        </w:rPr>
      </w:pPr>
      <w:r w:rsidRPr="00A925DF">
        <w:rPr>
          <w:rFonts w:eastAsia="Gulim" w:cstheme="minorHAnsi"/>
          <w:b/>
        </w:rPr>
        <w:t>ATENTAMENTE</w:t>
      </w:r>
    </w:p>
    <w:p w:rsidR="002344A5" w:rsidRPr="00A925DF" w:rsidRDefault="002344A5" w:rsidP="002344A5">
      <w:pPr>
        <w:tabs>
          <w:tab w:val="left" w:pos="10065"/>
          <w:tab w:val="left" w:pos="10206"/>
        </w:tabs>
        <w:jc w:val="center"/>
        <w:rPr>
          <w:rFonts w:eastAsia="Gulim" w:cstheme="minorHAnsi"/>
          <w:b/>
        </w:rPr>
      </w:pPr>
      <w:r w:rsidRPr="00A925DF">
        <w:rPr>
          <w:rFonts w:eastAsia="Gulim" w:cstheme="minorHAnsi"/>
          <w:b/>
        </w:rPr>
        <w:t>PRESIDENTE MUNICIPAL DE CUERNAVACA</w:t>
      </w:r>
    </w:p>
    <w:p w:rsidR="002344A5" w:rsidRPr="00A925DF" w:rsidRDefault="002344A5" w:rsidP="002344A5">
      <w:pPr>
        <w:tabs>
          <w:tab w:val="left" w:pos="10065"/>
          <w:tab w:val="left" w:pos="10206"/>
        </w:tabs>
        <w:rPr>
          <w:rFonts w:eastAsia="Gulim" w:cstheme="minorHAnsi"/>
          <w:b/>
        </w:rPr>
      </w:pPr>
    </w:p>
    <w:p w:rsidR="002344A5" w:rsidRDefault="002344A5" w:rsidP="002344A5">
      <w:pPr>
        <w:tabs>
          <w:tab w:val="left" w:pos="10065"/>
          <w:tab w:val="left" w:pos="10206"/>
        </w:tabs>
        <w:rPr>
          <w:rFonts w:eastAsia="Gulim" w:cstheme="minorHAnsi"/>
          <w:b/>
        </w:rPr>
      </w:pPr>
    </w:p>
    <w:p w:rsidR="00F37545" w:rsidRPr="00A925DF" w:rsidRDefault="00F37545" w:rsidP="002344A5">
      <w:pPr>
        <w:tabs>
          <w:tab w:val="left" w:pos="10065"/>
          <w:tab w:val="left" w:pos="10206"/>
        </w:tabs>
        <w:rPr>
          <w:rFonts w:eastAsia="Gulim" w:cstheme="minorHAnsi"/>
          <w:b/>
        </w:rPr>
      </w:pPr>
    </w:p>
    <w:p w:rsidR="00F37545" w:rsidRPr="00A925DF" w:rsidRDefault="00F37545" w:rsidP="002344A5">
      <w:pPr>
        <w:tabs>
          <w:tab w:val="left" w:pos="10065"/>
          <w:tab w:val="left" w:pos="10206"/>
        </w:tabs>
        <w:rPr>
          <w:rFonts w:eastAsia="Gulim" w:cstheme="minorHAnsi"/>
          <w:b/>
        </w:rPr>
      </w:pPr>
    </w:p>
    <w:p w:rsidR="002344A5" w:rsidRPr="00A925DF" w:rsidRDefault="002344A5" w:rsidP="002344A5">
      <w:pPr>
        <w:tabs>
          <w:tab w:val="left" w:pos="10065"/>
          <w:tab w:val="left" w:pos="10206"/>
        </w:tabs>
        <w:jc w:val="center"/>
        <w:rPr>
          <w:rFonts w:eastAsia="Gulim" w:cstheme="minorHAnsi"/>
          <w:b/>
        </w:rPr>
      </w:pPr>
      <w:r w:rsidRPr="00A925DF">
        <w:rPr>
          <w:rFonts w:eastAsia="Gulim" w:cstheme="minorHAnsi"/>
          <w:b/>
        </w:rPr>
        <w:t>JOSÉ LUIS URIÓSTEGUI SALGADO</w:t>
      </w:r>
    </w:p>
    <w:p w:rsidR="002344A5" w:rsidRPr="00A925DF" w:rsidRDefault="002344A5" w:rsidP="002344A5">
      <w:pPr>
        <w:tabs>
          <w:tab w:val="left" w:pos="10065"/>
          <w:tab w:val="left" w:pos="10206"/>
        </w:tabs>
        <w:rPr>
          <w:rFonts w:eastAsia="Gulim" w:cstheme="minorHAnsi"/>
          <w:b/>
        </w:rPr>
      </w:pPr>
    </w:p>
    <w:p w:rsidR="002344A5" w:rsidRPr="00A925DF" w:rsidRDefault="002344A5" w:rsidP="002344A5">
      <w:pPr>
        <w:tabs>
          <w:tab w:val="left" w:pos="10065"/>
          <w:tab w:val="left" w:pos="10206"/>
        </w:tabs>
        <w:jc w:val="center"/>
        <w:rPr>
          <w:rFonts w:eastAsia="Gulim" w:cstheme="minorHAnsi"/>
          <w:b/>
        </w:rPr>
      </w:pPr>
      <w:r w:rsidRPr="00A925DF">
        <w:rPr>
          <w:rFonts w:eastAsia="Gulim" w:cstheme="minorHAnsi"/>
          <w:b/>
        </w:rPr>
        <w:t>SECRETARIO DEL AYUNTAMIENTO</w:t>
      </w:r>
    </w:p>
    <w:p w:rsidR="002344A5" w:rsidRPr="00A925DF" w:rsidRDefault="002344A5" w:rsidP="002344A5">
      <w:pPr>
        <w:tabs>
          <w:tab w:val="left" w:pos="10065"/>
          <w:tab w:val="left" w:pos="10206"/>
        </w:tabs>
        <w:rPr>
          <w:rFonts w:eastAsia="Gulim" w:cstheme="minorHAnsi"/>
          <w:b/>
        </w:rPr>
      </w:pPr>
    </w:p>
    <w:p w:rsidR="002344A5" w:rsidRPr="00A925DF" w:rsidRDefault="002344A5" w:rsidP="002344A5">
      <w:pPr>
        <w:tabs>
          <w:tab w:val="left" w:pos="10065"/>
          <w:tab w:val="left" w:pos="10206"/>
        </w:tabs>
        <w:rPr>
          <w:rFonts w:eastAsia="Gulim" w:cstheme="minorHAnsi"/>
          <w:b/>
        </w:rPr>
      </w:pPr>
    </w:p>
    <w:p w:rsidR="00CA4D4E" w:rsidRPr="00A925DF" w:rsidRDefault="00CA4D4E" w:rsidP="002344A5">
      <w:pPr>
        <w:tabs>
          <w:tab w:val="left" w:pos="10065"/>
          <w:tab w:val="left" w:pos="10206"/>
        </w:tabs>
        <w:rPr>
          <w:rFonts w:eastAsia="Gulim" w:cstheme="minorHAnsi"/>
          <w:b/>
        </w:rPr>
      </w:pPr>
    </w:p>
    <w:p w:rsidR="002344A5" w:rsidRDefault="002344A5" w:rsidP="002344A5">
      <w:pPr>
        <w:tabs>
          <w:tab w:val="left" w:pos="10065"/>
          <w:tab w:val="left" w:pos="10206"/>
        </w:tabs>
        <w:jc w:val="center"/>
        <w:rPr>
          <w:rFonts w:eastAsia="Gulim" w:cstheme="minorHAnsi"/>
          <w:b/>
        </w:rPr>
      </w:pPr>
      <w:r w:rsidRPr="00A925DF">
        <w:rPr>
          <w:rFonts w:eastAsia="Gulim" w:cstheme="minorHAnsi"/>
          <w:b/>
        </w:rPr>
        <w:t>CARLOS DE LA ROSA SEGURA</w:t>
      </w:r>
    </w:p>
    <w:p w:rsidR="003D6EC0" w:rsidRDefault="003D6EC0" w:rsidP="002344A5">
      <w:pPr>
        <w:tabs>
          <w:tab w:val="left" w:pos="10065"/>
          <w:tab w:val="left" w:pos="10206"/>
        </w:tabs>
        <w:jc w:val="center"/>
        <w:rPr>
          <w:rFonts w:eastAsia="Gulim" w:cstheme="minorHAnsi"/>
          <w:b/>
        </w:rPr>
      </w:pPr>
      <w:bookmarkStart w:id="0" w:name="_GoBack"/>
      <w:bookmarkEnd w:id="0"/>
    </w:p>
    <w:p w:rsidR="002344A5" w:rsidRPr="00A925DF" w:rsidRDefault="002344A5" w:rsidP="00F37545">
      <w:pPr>
        <w:jc w:val="both"/>
        <w:rPr>
          <w:rFonts w:eastAsia="Gulim" w:cstheme="minorHAnsi"/>
          <w:b/>
        </w:rPr>
      </w:pPr>
      <w:r w:rsidRPr="00A925DF">
        <w:rPr>
          <w:rFonts w:cstheme="minorHAnsi"/>
          <w:bCs/>
          <w:sz w:val="16"/>
          <w:szCs w:val="16"/>
        </w:rPr>
        <w:t>LA PRESENTE HOJA DE FIRMAS, CORRESPONDE AL ACUERDO NÚMERO</w:t>
      </w:r>
      <w:r w:rsidRPr="00A925DF">
        <w:rPr>
          <w:rFonts w:cstheme="minorHAnsi"/>
        </w:rPr>
        <w:t xml:space="preserve"> </w:t>
      </w:r>
      <w:r w:rsidRPr="00A925DF">
        <w:rPr>
          <w:rFonts w:cstheme="minorHAnsi"/>
          <w:bCs/>
          <w:sz w:val="16"/>
          <w:szCs w:val="16"/>
        </w:rPr>
        <w:t>S</w:t>
      </w:r>
      <w:r w:rsidR="00CA4D4E">
        <w:rPr>
          <w:rFonts w:cstheme="minorHAnsi"/>
          <w:bCs/>
          <w:sz w:val="16"/>
          <w:szCs w:val="16"/>
        </w:rPr>
        <w:t>O</w:t>
      </w:r>
      <w:r w:rsidRPr="00A925DF">
        <w:rPr>
          <w:rFonts w:cstheme="minorHAnsi"/>
          <w:bCs/>
          <w:sz w:val="16"/>
          <w:szCs w:val="16"/>
        </w:rPr>
        <w:t>/AC-</w:t>
      </w:r>
      <w:r w:rsidR="00D76614">
        <w:rPr>
          <w:rFonts w:cstheme="minorHAnsi"/>
          <w:bCs/>
          <w:sz w:val="16"/>
          <w:szCs w:val="16"/>
        </w:rPr>
        <w:t>301</w:t>
      </w:r>
      <w:r w:rsidR="00CA4D4E">
        <w:rPr>
          <w:rFonts w:cstheme="minorHAnsi"/>
          <w:bCs/>
          <w:sz w:val="16"/>
          <w:szCs w:val="16"/>
        </w:rPr>
        <w:t>/22</w:t>
      </w:r>
      <w:r w:rsidRPr="00A925DF">
        <w:rPr>
          <w:rFonts w:cstheme="minorHAnsi"/>
          <w:bCs/>
          <w:sz w:val="16"/>
          <w:szCs w:val="16"/>
        </w:rPr>
        <w:t xml:space="preserve">-III-2023, </w:t>
      </w:r>
      <w:r w:rsidR="00F37545" w:rsidRPr="00F37545">
        <w:rPr>
          <w:rFonts w:cstheme="minorHAnsi"/>
          <w:bCs/>
          <w:sz w:val="16"/>
          <w:szCs w:val="16"/>
        </w:rPr>
        <w:t>POR EL QUE SE AUTORIZA AL PRESIDENTE MUNICIPAL O A QUIEN ESTE TENGA A BIEN DESIGNAR, LA APLICACIÓN DE UN ESTÍMULO FISCAL DEL 100% EN EL PAGO DE LOS DERECHOS QUE SE CAUSEN POR LOS REFRENDOS POR CADA UNIDAD, EN LAS LICENCIAS DE ANUNCIOS EN VIA PÚBLICA, PARTICULARMENTE A LOS QUE NO FUERON COLOCADOS, ASÍ COMO EN LAS MULTAS Y RECARGOS QUE SE HAYAN GENERADO POR LOS EJERCICIOS FISCALES DEL 2018 AL 2022, TENIENDO UNA VIGENCIA HASTA EL 31 DE MAYO DE 2023; RINDIENDO EL INFORME CORRESPONDIENTE A LAS Y LOS INTEGRANTES DEL CABILDO SOBRE APLICACIÓN DEL ESTÍMULO</w:t>
      </w:r>
      <w:r w:rsidRPr="00A925DF">
        <w:rPr>
          <w:rFonts w:cstheme="minorHAnsi"/>
          <w:bCs/>
          <w:sz w:val="16"/>
          <w:szCs w:val="16"/>
        </w:rPr>
        <w:t xml:space="preserve">, APROBADO EN LA SESIÓN ORDINARIA DE CABILDO DE FECHA </w:t>
      </w:r>
      <w:r w:rsidR="00CA4D4E">
        <w:rPr>
          <w:rFonts w:cstheme="minorHAnsi"/>
          <w:bCs/>
          <w:sz w:val="16"/>
          <w:szCs w:val="16"/>
        </w:rPr>
        <w:t>VEINTIDÓS</w:t>
      </w:r>
      <w:r w:rsidRPr="00A925DF">
        <w:rPr>
          <w:rFonts w:cstheme="minorHAnsi"/>
          <w:bCs/>
          <w:sz w:val="16"/>
          <w:szCs w:val="16"/>
        </w:rPr>
        <w:t xml:space="preserve"> DE MARZO DE DOS MIL VEINTITRÉS. </w:t>
      </w:r>
    </w:p>
    <w:sectPr w:rsidR="002344A5" w:rsidRPr="00A925DF"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AD" w:rsidRDefault="00BE6FAD">
      <w:r>
        <w:separator/>
      </w:r>
    </w:p>
  </w:endnote>
  <w:endnote w:type="continuationSeparator" w:id="0">
    <w:p w:rsidR="00BE6FAD" w:rsidRDefault="00BE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D1" w:rsidRPr="0021265F" w:rsidRDefault="00855CD1">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61795632" wp14:editId="06EC9D80">
              <wp:simplePos x="0" y="0"/>
              <wp:positionH relativeFrom="margin">
                <wp:posOffset>-900347</wp:posOffset>
              </wp:positionH>
              <wp:positionV relativeFrom="paragraph">
                <wp:posOffset>226391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55CD1" w:rsidRPr="00446BF8" w:rsidRDefault="00855CD1" w:rsidP="00855CD1">
                          <w:pPr>
                            <w:rPr>
                              <w:color w:val="FFFFFF" w:themeColor="background1"/>
                              <w:sz w:val="22"/>
                              <w:szCs w:val="22"/>
                              <w:lang w:val="es-ES"/>
                            </w:rPr>
                          </w:pPr>
                          <w:r w:rsidRPr="00D87835">
                            <w:rPr>
                              <w:color w:val="FFFFFF" w:themeColor="background1"/>
                              <w:sz w:val="22"/>
                              <w:szCs w:val="22"/>
                              <w:lang w:val="es-ES"/>
                            </w:rPr>
                            <w:t>Call</w:t>
                          </w:r>
                          <w:r>
                            <w:rPr>
                              <w:color w:val="FFFFFF" w:themeColor="background1"/>
                              <w:sz w:val="22"/>
                              <w:szCs w:val="22"/>
                              <w:lang w:val="es-ES"/>
                            </w:rPr>
                            <w:t>e Motolinía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5632" id="_x0000_t202" coordsize="21600,21600" o:spt="202" path="m,l,21600r21600,l21600,xe">
              <v:stroke joinstyle="miter"/>
              <v:path gradientshapeok="t" o:connecttype="rect"/>
            </v:shapetype>
            <v:shape id="Cuadro de texto 8" o:spid="_x0000_s1027" type="#_x0000_t202" style="position:absolute;left:0;text-align:left;margin-left:-70.9pt;margin-top:17.8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" filled="f" stroked="f" strokeweight=".5pt">
              <v:textbox>
                <w:txbxContent>
                  <w:p w:rsidR="00855CD1" w:rsidRPr="00446BF8" w:rsidRDefault="00855CD1" w:rsidP="00855CD1">
                    <w:pPr>
                      <w:rPr>
                        <w:color w:val="FFFFFF" w:themeColor="background1"/>
                        <w:sz w:val="22"/>
                        <w:szCs w:val="22"/>
                        <w:lang w:val="es-ES"/>
                      </w:rPr>
                    </w:pPr>
                    <w:r w:rsidRPr="00D87835">
                      <w:rPr>
                        <w:color w:val="FFFFFF" w:themeColor="background1"/>
                        <w:sz w:val="22"/>
                        <w:szCs w:val="22"/>
                        <w:lang w:val="es-ES"/>
                      </w:rPr>
                      <w:t>Call</w:t>
                    </w:r>
                    <w:r>
                      <w:rPr>
                        <w:color w:val="FFFFFF" w:themeColor="background1"/>
                        <w:sz w:val="22"/>
                        <w:szCs w:val="22"/>
                        <w:lang w:val="es-ES"/>
                      </w:rPr>
                      <w:t>e Motolinía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1" locked="0" layoutInCell="1" allowOverlap="1" wp14:anchorId="3E62E91A" wp14:editId="73956DB9">
              <wp:simplePos x="0" y="0"/>
              <wp:positionH relativeFrom="page">
                <wp:align>left</wp:align>
              </wp:positionH>
              <wp:positionV relativeFrom="paragraph">
                <wp:posOffset>-88900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90B55F"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" fillcolor="#223b65" strokecolor="#243f60 [1604]" strokeweight="2pt">
              <w10:wrap anchorx="page"/>
            </v:rect>
          </w:pict>
        </mc:Fallback>
      </mc:AlternateContent>
    </w:r>
    <w:sdt>
      <w:sdtPr>
        <w:id w:val="-1178041690"/>
        <w:docPartObj>
          <w:docPartGallery w:val="Page Numbers (Bottom of Page)"/>
          <w:docPartUnique/>
        </w:docPartObj>
      </w:sdtPr>
      <w:sdtEndPr>
        <w:rPr>
          <w:color w:val="FFFFFF" w:themeColor="background1"/>
        </w:rPr>
      </w:sdtEndPr>
      <w:sdtContent>
        <w:r w:rsidRPr="0021265F">
          <w:rPr>
            <w:color w:val="FFFFFF" w:themeColor="background1"/>
          </w:rPr>
          <w:fldChar w:fldCharType="begin"/>
        </w:r>
        <w:r w:rsidRPr="0021265F">
          <w:rPr>
            <w:color w:val="FFFFFF" w:themeColor="background1"/>
          </w:rPr>
          <w:instrText>PAGE   \* MERGEFORMAT</w:instrText>
        </w:r>
        <w:r w:rsidRPr="0021265F">
          <w:rPr>
            <w:color w:val="FFFFFF" w:themeColor="background1"/>
          </w:rPr>
          <w:fldChar w:fldCharType="separate"/>
        </w:r>
        <w:r w:rsidR="003D6EC0" w:rsidRPr="003D6EC0">
          <w:rPr>
            <w:noProof/>
            <w:color w:val="FFFFFF" w:themeColor="background1"/>
            <w:lang w:val="es-ES"/>
          </w:rPr>
          <w:t>3</w:t>
        </w:r>
        <w:r w:rsidRPr="0021265F">
          <w:rPr>
            <w:color w:val="FFFFFF" w:themeColor="background1"/>
          </w:rPr>
          <w:fldChar w:fldCharType="end"/>
        </w:r>
      </w:sdtContent>
    </w:sdt>
  </w:p>
  <w:p w:rsidR="00BF7623" w:rsidRDefault="00BE6F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AD" w:rsidRDefault="00BE6FAD">
      <w:r>
        <w:separator/>
      </w:r>
    </w:p>
  </w:footnote>
  <w:footnote w:type="continuationSeparator" w:id="0">
    <w:p w:rsidR="00BE6FAD" w:rsidRDefault="00BE6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8E10D7">
    <w:pPr>
      <w:pStyle w:val="Encabezado"/>
    </w:pPr>
    <w:r>
      <w:rPr>
        <w:noProof/>
        <w:lang w:eastAsia="es-MX"/>
      </w:rPr>
      <w:drawing>
        <wp:anchor distT="0" distB="0" distL="114300" distR="114300" simplePos="0" relativeHeight="251661312" behindDoc="1" locked="0" layoutInCell="1" allowOverlap="1" wp14:anchorId="3EE01493" wp14:editId="358224A5">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C48E3A" wp14:editId="7B91416D">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0E87E431" wp14:editId="0E49ED5E">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0FC4"/>
    <w:multiLevelType w:val="hybridMultilevel"/>
    <w:tmpl w:val="317CE6C2"/>
    <w:lvl w:ilvl="0" w:tplc="8A26756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93"/>
    <w:rsid w:val="000410EC"/>
    <w:rsid w:val="000509AE"/>
    <w:rsid w:val="00052F86"/>
    <w:rsid w:val="000A3AE3"/>
    <w:rsid w:val="00120D93"/>
    <w:rsid w:val="00156B97"/>
    <w:rsid w:val="001B4239"/>
    <w:rsid w:val="0021265F"/>
    <w:rsid w:val="002344A5"/>
    <w:rsid w:val="00296E3A"/>
    <w:rsid w:val="002A7753"/>
    <w:rsid w:val="002F34F0"/>
    <w:rsid w:val="003D6EC0"/>
    <w:rsid w:val="003F6EA5"/>
    <w:rsid w:val="004D4EF9"/>
    <w:rsid w:val="004F20A9"/>
    <w:rsid w:val="00547857"/>
    <w:rsid w:val="006A0F07"/>
    <w:rsid w:val="007C18A5"/>
    <w:rsid w:val="007E6EDE"/>
    <w:rsid w:val="007F23E8"/>
    <w:rsid w:val="00855CD1"/>
    <w:rsid w:val="00857826"/>
    <w:rsid w:val="008E10D7"/>
    <w:rsid w:val="009B3341"/>
    <w:rsid w:val="009D38AC"/>
    <w:rsid w:val="00A226DA"/>
    <w:rsid w:val="00A7124B"/>
    <w:rsid w:val="00A7641C"/>
    <w:rsid w:val="00A925DF"/>
    <w:rsid w:val="00AD7FB8"/>
    <w:rsid w:val="00AE74E0"/>
    <w:rsid w:val="00BD2BE6"/>
    <w:rsid w:val="00BE6FAD"/>
    <w:rsid w:val="00C53E73"/>
    <w:rsid w:val="00CA4D4E"/>
    <w:rsid w:val="00D76614"/>
    <w:rsid w:val="00E23907"/>
    <w:rsid w:val="00E56A21"/>
    <w:rsid w:val="00EF0DBA"/>
    <w:rsid w:val="00EF73E9"/>
    <w:rsid w:val="00F37545"/>
    <w:rsid w:val="00F431C8"/>
    <w:rsid w:val="00F859E2"/>
    <w:rsid w:val="00FE3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4761E"/>
  <w15:docId w15:val="{54131B53-1746-463E-8328-E45EB80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9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D93"/>
    <w:pPr>
      <w:tabs>
        <w:tab w:val="center" w:pos="4419"/>
        <w:tab w:val="right" w:pos="8838"/>
      </w:tabs>
    </w:pPr>
  </w:style>
  <w:style w:type="character" w:customStyle="1" w:styleId="EncabezadoCar">
    <w:name w:val="Encabezado Car"/>
    <w:basedOn w:val="Fuentedeprrafopredeter"/>
    <w:link w:val="Encabezado"/>
    <w:uiPriority w:val="99"/>
    <w:rsid w:val="00120D93"/>
    <w:rPr>
      <w:sz w:val="24"/>
      <w:szCs w:val="24"/>
    </w:rPr>
  </w:style>
  <w:style w:type="paragraph" w:styleId="Piedepgina">
    <w:name w:val="footer"/>
    <w:basedOn w:val="Normal"/>
    <w:link w:val="PiedepginaCar"/>
    <w:uiPriority w:val="99"/>
    <w:unhideWhenUsed/>
    <w:rsid w:val="00120D93"/>
    <w:pPr>
      <w:tabs>
        <w:tab w:val="center" w:pos="4419"/>
        <w:tab w:val="right" w:pos="8838"/>
      </w:tabs>
    </w:pPr>
  </w:style>
  <w:style w:type="character" w:customStyle="1" w:styleId="PiedepginaCar">
    <w:name w:val="Pie de página Car"/>
    <w:basedOn w:val="Fuentedeprrafopredeter"/>
    <w:link w:val="Piedepgina"/>
    <w:uiPriority w:val="99"/>
    <w:rsid w:val="00120D93"/>
    <w:rPr>
      <w:sz w:val="24"/>
      <w:szCs w:val="24"/>
    </w:rPr>
  </w:style>
  <w:style w:type="paragraph" w:styleId="Sinespaciado">
    <w:name w:val="No Spacing"/>
    <w:aliases w:val="RESOLUTIVOS"/>
    <w:link w:val="SinespaciadoCar"/>
    <w:uiPriority w:val="1"/>
    <w:qFormat/>
    <w:rsid w:val="00120D93"/>
    <w:pPr>
      <w:spacing w:after="0" w:line="240" w:lineRule="auto"/>
    </w:pPr>
    <w:rPr>
      <w:sz w:val="24"/>
      <w:szCs w:val="24"/>
    </w:rPr>
  </w:style>
  <w:style w:type="paragraph" w:styleId="NormalWeb">
    <w:name w:val="Normal (Web)"/>
    <w:basedOn w:val="Normal"/>
    <w:uiPriority w:val="99"/>
    <w:unhideWhenUsed/>
    <w:rsid w:val="00120D93"/>
    <w:pPr>
      <w:spacing w:before="100" w:beforeAutospacing="1" w:after="100" w:afterAutospacing="1"/>
    </w:pPr>
    <w:rPr>
      <w:rFonts w:ascii="Times New Roman" w:eastAsia="Times New Roman" w:hAnsi="Times New Roman" w:cs="Times New Roman"/>
      <w:lang w:val="es-ES" w:eastAsia="es-ES"/>
    </w:rPr>
  </w:style>
  <w:style w:type="character" w:customStyle="1" w:styleId="SinespaciadoCar">
    <w:name w:val="Sin espaciado Car"/>
    <w:aliases w:val="RESOLUTIVOS Car"/>
    <w:link w:val="Sinespaciado"/>
    <w:uiPriority w:val="1"/>
    <w:locked/>
    <w:rsid w:val="00120D93"/>
    <w:rPr>
      <w:sz w:val="24"/>
      <w:szCs w:val="24"/>
    </w:rPr>
  </w:style>
  <w:style w:type="paragraph" w:styleId="Prrafodelista">
    <w:name w:val="List Paragraph"/>
    <w:basedOn w:val="Normal"/>
    <w:uiPriority w:val="34"/>
    <w:qFormat/>
    <w:rsid w:val="009B3341"/>
    <w:pPr>
      <w:ind w:left="720"/>
      <w:contextualSpacing/>
    </w:pPr>
  </w:style>
  <w:style w:type="paragraph" w:styleId="Textodeglobo">
    <w:name w:val="Balloon Text"/>
    <w:basedOn w:val="Normal"/>
    <w:link w:val="TextodegloboCar"/>
    <w:uiPriority w:val="99"/>
    <w:semiHidden/>
    <w:unhideWhenUsed/>
    <w:rsid w:val="001B42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239"/>
    <w:rPr>
      <w:rFonts w:ascii="Segoe UI" w:hAnsi="Segoe UI" w:cs="Segoe UI"/>
      <w:sz w:val="18"/>
      <w:szCs w:val="18"/>
    </w:rPr>
  </w:style>
  <w:style w:type="table" w:styleId="Tablaconcuadrcula">
    <w:name w:val="Table Grid"/>
    <w:basedOn w:val="Tablanormal"/>
    <w:uiPriority w:val="39"/>
    <w:rsid w:val="00CA4D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CA50-90BD-4BD0-9BBD-4FA2E329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1253</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david flores figueroa</dc:creator>
  <cp:lastModifiedBy>Iveth Rosalinda Le Blanc Ruiz</cp:lastModifiedBy>
  <cp:revision>13</cp:revision>
  <cp:lastPrinted>2023-03-28T19:00:00Z</cp:lastPrinted>
  <dcterms:created xsi:type="dcterms:W3CDTF">2023-03-15T20:40:00Z</dcterms:created>
  <dcterms:modified xsi:type="dcterms:W3CDTF">2023-03-28T19:00:00Z</dcterms:modified>
</cp:coreProperties>
</file>