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D1F62" w14:textId="77777777" w:rsidR="00120D93" w:rsidRPr="00A925DF" w:rsidRDefault="007C18A5" w:rsidP="00120D93">
      <w:pPr>
        <w:tabs>
          <w:tab w:val="left" w:pos="6725"/>
        </w:tabs>
        <w:jc w:val="right"/>
        <w:rPr>
          <w:rFonts w:cstheme="minorHAnsi"/>
          <w:bCs/>
          <w:iCs/>
          <w:color w:val="000000"/>
        </w:rPr>
      </w:pPr>
      <w:r w:rsidRPr="00A925DF">
        <w:rPr>
          <w:rFonts w:cstheme="minorHAnsi"/>
          <w:noProof/>
          <w:lang w:eastAsia="es-MX"/>
        </w:rPr>
        <mc:AlternateContent>
          <mc:Choice Requires="wps">
            <w:drawing>
              <wp:anchor distT="45720" distB="45720" distL="114300" distR="114300" simplePos="0" relativeHeight="251659264" behindDoc="1" locked="0" layoutInCell="1" allowOverlap="1" wp14:anchorId="78B2427D" wp14:editId="69AD9D09">
                <wp:simplePos x="0" y="0"/>
                <wp:positionH relativeFrom="margin">
                  <wp:posOffset>2315376</wp:posOffset>
                </wp:positionH>
                <wp:positionV relativeFrom="paragraph">
                  <wp:posOffset>-753828</wp:posOffset>
                </wp:positionV>
                <wp:extent cx="3012688" cy="614044"/>
                <wp:effectExtent l="0" t="0" r="16510"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2688" cy="614044"/>
                        </a:xfrm>
                        <a:prstGeom prst="rect">
                          <a:avLst/>
                        </a:prstGeom>
                        <a:solidFill>
                          <a:srgbClr val="FFFFFF"/>
                        </a:solidFill>
                        <a:ln w="9525">
                          <a:solidFill>
                            <a:srgbClr val="000000"/>
                          </a:solidFill>
                          <a:miter lim="800000"/>
                          <a:headEnd/>
                          <a:tailEnd/>
                        </a:ln>
                      </wps:spPr>
                      <wps:txbx>
                        <w:txbxContent>
                          <w:p w14:paraId="7F5A2764" w14:textId="77777777" w:rsidR="007C18A5" w:rsidRPr="006357D9" w:rsidRDefault="007C18A5" w:rsidP="007C18A5">
                            <w:pPr>
                              <w:rPr>
                                <w:sz w:val="22"/>
                                <w:szCs w:val="22"/>
                              </w:rPr>
                            </w:pPr>
                            <w:r w:rsidRPr="006357D9">
                              <w:rPr>
                                <w:sz w:val="22"/>
                                <w:szCs w:val="22"/>
                              </w:rPr>
                              <w:t>DEPENDENCIA: SECRETARÍA DEL AYUNTAMIEN</w:t>
                            </w:r>
                            <w:r>
                              <w:rPr>
                                <w:sz w:val="22"/>
                                <w:szCs w:val="22"/>
                              </w:rPr>
                              <w:t>T</w:t>
                            </w:r>
                            <w:r w:rsidRPr="006357D9">
                              <w:rPr>
                                <w:sz w:val="22"/>
                                <w:szCs w:val="22"/>
                              </w:rPr>
                              <w:t>O</w:t>
                            </w:r>
                          </w:p>
                          <w:p w14:paraId="40A62A61" w14:textId="77777777" w:rsidR="007C18A5" w:rsidRDefault="007C18A5" w:rsidP="007C18A5">
                            <w:pPr>
                              <w:rPr>
                                <w:sz w:val="22"/>
                                <w:szCs w:val="22"/>
                              </w:rPr>
                            </w:pPr>
                          </w:p>
                          <w:p w14:paraId="41B4993D" w14:textId="77777777" w:rsidR="007C18A5" w:rsidRPr="006357D9" w:rsidRDefault="007C18A5" w:rsidP="007C18A5">
                            <w:pPr>
                              <w:rPr>
                                <w:sz w:val="22"/>
                                <w:szCs w:val="22"/>
                              </w:rPr>
                            </w:pPr>
                            <w:r w:rsidRPr="006357D9">
                              <w:rPr>
                                <w:sz w:val="22"/>
                                <w:szCs w:val="22"/>
                              </w:rPr>
                              <w:t xml:space="preserve">ACUERDO: </w:t>
                            </w:r>
                            <w:r w:rsidR="00A925DF">
                              <w:rPr>
                                <w:sz w:val="22"/>
                                <w:szCs w:val="22"/>
                              </w:rPr>
                              <w:t>S</w:t>
                            </w:r>
                            <w:r w:rsidR="00CA4D4E">
                              <w:rPr>
                                <w:sz w:val="22"/>
                                <w:szCs w:val="22"/>
                              </w:rPr>
                              <w:t>O</w:t>
                            </w:r>
                            <w:r w:rsidR="00A925DF">
                              <w:rPr>
                                <w:sz w:val="22"/>
                                <w:szCs w:val="22"/>
                              </w:rPr>
                              <w:t>/AC-</w:t>
                            </w:r>
                            <w:r w:rsidR="00B01A89">
                              <w:rPr>
                                <w:sz w:val="22"/>
                                <w:szCs w:val="22"/>
                              </w:rPr>
                              <w:t>30</w:t>
                            </w:r>
                            <w:r w:rsidR="00A56640">
                              <w:rPr>
                                <w:sz w:val="22"/>
                                <w:szCs w:val="22"/>
                              </w:rPr>
                              <w:t>4</w:t>
                            </w:r>
                            <w:r w:rsidR="00CA4D4E">
                              <w:rPr>
                                <w:sz w:val="22"/>
                                <w:szCs w:val="22"/>
                              </w:rPr>
                              <w:t>/22</w:t>
                            </w:r>
                            <w:r>
                              <w:rPr>
                                <w:sz w:val="22"/>
                                <w:szCs w:val="22"/>
                              </w:rPr>
                              <w:t>-III-2023.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5D38C52" id="_x0000_t202" coordsize="21600,21600" o:spt="202" path="m,l,21600r21600,l21600,xe">
                <v:stroke joinstyle="miter"/>
                <v:path gradientshapeok="t" o:connecttype="rect"/>
              </v:shapetype>
              <v:shape id="Cuadro de texto 2" o:spid="_x0000_s1026" type="#_x0000_t202" style="position:absolute;left:0;text-align:left;margin-left:182.3pt;margin-top:-59.35pt;width:237.2pt;height:48.3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">
                <v:textbox>
                  <w:txbxContent>
                    <w:p w:rsidR="007C18A5" w:rsidRPr="006357D9" w:rsidRDefault="007C18A5" w:rsidP="007C18A5">
                      <w:pPr>
                        <w:rPr>
                          <w:sz w:val="22"/>
                          <w:szCs w:val="22"/>
                        </w:rPr>
                      </w:pPr>
                      <w:r w:rsidRPr="006357D9">
                        <w:rPr>
                          <w:sz w:val="22"/>
                          <w:szCs w:val="22"/>
                        </w:rPr>
                        <w:t>DEPENDENCIA: SECRETARÍA DEL AYUNTAMIEN</w:t>
                      </w:r>
                      <w:r>
                        <w:rPr>
                          <w:sz w:val="22"/>
                          <w:szCs w:val="22"/>
                        </w:rPr>
                        <w:t>T</w:t>
                      </w:r>
                      <w:r w:rsidRPr="006357D9">
                        <w:rPr>
                          <w:sz w:val="22"/>
                          <w:szCs w:val="22"/>
                        </w:rPr>
                        <w:t>O</w:t>
                      </w:r>
                    </w:p>
                    <w:p w:rsidR="007C18A5" w:rsidRDefault="007C18A5" w:rsidP="007C18A5">
                      <w:pPr>
                        <w:rPr>
                          <w:sz w:val="22"/>
                          <w:szCs w:val="22"/>
                        </w:rPr>
                      </w:pPr>
                    </w:p>
                    <w:p w:rsidR="007C18A5" w:rsidRPr="006357D9" w:rsidRDefault="007C18A5" w:rsidP="007C18A5">
                      <w:pPr>
                        <w:rPr>
                          <w:sz w:val="22"/>
                          <w:szCs w:val="22"/>
                        </w:rPr>
                      </w:pPr>
                      <w:r w:rsidRPr="006357D9">
                        <w:rPr>
                          <w:sz w:val="22"/>
                          <w:szCs w:val="22"/>
                        </w:rPr>
                        <w:t xml:space="preserve">ACUERDO: </w:t>
                      </w:r>
                      <w:r w:rsidR="00A925DF">
                        <w:rPr>
                          <w:sz w:val="22"/>
                          <w:szCs w:val="22"/>
                        </w:rPr>
                        <w:t>S</w:t>
                      </w:r>
                      <w:r w:rsidR="00CA4D4E">
                        <w:rPr>
                          <w:sz w:val="22"/>
                          <w:szCs w:val="22"/>
                        </w:rPr>
                        <w:t>O</w:t>
                      </w:r>
                      <w:r w:rsidR="00A925DF">
                        <w:rPr>
                          <w:sz w:val="22"/>
                          <w:szCs w:val="22"/>
                        </w:rPr>
                        <w:t>/AC-</w:t>
                      </w:r>
                      <w:r w:rsidR="00B01A89">
                        <w:rPr>
                          <w:sz w:val="22"/>
                          <w:szCs w:val="22"/>
                        </w:rPr>
                        <w:t>30</w:t>
                      </w:r>
                      <w:r w:rsidR="00A56640">
                        <w:rPr>
                          <w:sz w:val="22"/>
                          <w:szCs w:val="22"/>
                        </w:rPr>
                        <w:t>4</w:t>
                      </w:r>
                      <w:r w:rsidR="00CA4D4E">
                        <w:rPr>
                          <w:sz w:val="22"/>
                          <w:szCs w:val="22"/>
                        </w:rPr>
                        <w:t>/22</w:t>
                      </w:r>
                      <w:r>
                        <w:rPr>
                          <w:sz w:val="22"/>
                          <w:szCs w:val="22"/>
                        </w:rPr>
                        <w:t>-III-2023.</w:t>
                      </w:r>
                    </w:p>
                  </w:txbxContent>
                </v:textbox>
                <w10:wrap anchorx="margin"/>
              </v:shape>
            </w:pict>
          </mc:Fallback>
        </mc:AlternateContent>
      </w:r>
    </w:p>
    <w:p w14:paraId="5139CCD1" w14:textId="77777777" w:rsidR="00120D93" w:rsidRPr="00A925DF" w:rsidRDefault="00120D93" w:rsidP="00120D93">
      <w:pPr>
        <w:tabs>
          <w:tab w:val="left" w:pos="3585"/>
        </w:tabs>
        <w:rPr>
          <w:rFonts w:eastAsia="Yu Gothic Light" w:cstheme="minorHAnsi"/>
          <w:b/>
          <w:bCs/>
          <w:sz w:val="10"/>
          <w:szCs w:val="12"/>
          <w:lang w:val="es-ES"/>
        </w:rPr>
      </w:pPr>
      <w:r w:rsidRPr="00A925DF">
        <w:rPr>
          <w:rFonts w:cstheme="minorHAnsi"/>
          <w:b/>
          <w:bCs/>
          <w:i/>
          <w:iCs/>
          <w:color w:val="000000"/>
        </w:rPr>
        <w:tab/>
      </w:r>
    </w:p>
    <w:p w14:paraId="31733C14" w14:textId="77777777" w:rsidR="00120D93" w:rsidRPr="00A925DF" w:rsidRDefault="00120D93" w:rsidP="00120D93">
      <w:pPr>
        <w:tabs>
          <w:tab w:val="left" w:pos="0"/>
          <w:tab w:val="left" w:pos="2051"/>
        </w:tabs>
        <w:jc w:val="both"/>
        <w:rPr>
          <w:rFonts w:eastAsia="Gulim" w:cstheme="minorHAnsi"/>
          <w:bCs/>
        </w:rPr>
      </w:pPr>
      <w:r w:rsidRPr="00A925DF">
        <w:rPr>
          <w:rFonts w:eastAsia="Gulim" w:cstheme="minorHAnsi"/>
          <w:bCs/>
        </w:rPr>
        <w:t xml:space="preserve">JOSÉ LUIS URIÓSTEGUI SALGADO, PRESIDENTE MUNICIPAL CONSTITUCIONAL DE CUERNAVACA, MORELOS, A SUS HABITANTES SABED: </w:t>
      </w:r>
    </w:p>
    <w:p w14:paraId="2CD4900D" w14:textId="77777777" w:rsidR="00120D93" w:rsidRPr="00A925DF" w:rsidRDefault="00120D93" w:rsidP="00120D93">
      <w:pPr>
        <w:tabs>
          <w:tab w:val="left" w:pos="0"/>
          <w:tab w:val="left" w:pos="2051"/>
        </w:tabs>
        <w:jc w:val="both"/>
        <w:rPr>
          <w:rFonts w:eastAsia="Gulim" w:cstheme="minorHAnsi"/>
          <w:bCs/>
        </w:rPr>
      </w:pPr>
    </w:p>
    <w:p w14:paraId="71A712D1" w14:textId="77777777" w:rsidR="00120D93" w:rsidRPr="00A925DF" w:rsidRDefault="00120D93" w:rsidP="00120D93">
      <w:pPr>
        <w:tabs>
          <w:tab w:val="left" w:pos="0"/>
          <w:tab w:val="left" w:pos="2051"/>
        </w:tabs>
        <w:jc w:val="both"/>
        <w:rPr>
          <w:rFonts w:eastAsia="Gulim" w:cstheme="minorHAnsi"/>
          <w:bCs/>
        </w:rPr>
      </w:pPr>
      <w:r w:rsidRPr="00A925DF">
        <w:rPr>
          <w:rFonts w:eastAsia="Gulim" w:cstheme="minorHAnsi"/>
          <w:bCs/>
        </w:rPr>
        <w:t>QUE EL AYUNTAMIENTO DE CUERNAVACA, MORELOS, EN USO DE LAS FACULTADES QUE LE CONFIEREN LOS ARTÍCULOS 115 DE LA CONSTITUCIÓN POLÍTICA DE LOS ESTADOS UNIDOS MEXICANOS; 112 Y 113 DE LA CONSTITUCIÓN POLÍTICA DEL ESTADO LIBRE Y SOBERANO DE MORELOS; 15</w:t>
      </w:r>
      <w:r w:rsidR="00204BC0">
        <w:rPr>
          <w:rFonts w:eastAsia="Gulim" w:cstheme="minorHAnsi"/>
          <w:bCs/>
        </w:rPr>
        <w:t xml:space="preserve"> Y 38 FRACCIÓN </w:t>
      </w:r>
      <w:r w:rsidRPr="00A925DF">
        <w:rPr>
          <w:rFonts w:eastAsia="Gulim" w:cstheme="minorHAnsi"/>
          <w:bCs/>
        </w:rPr>
        <w:t>III</w:t>
      </w:r>
      <w:r w:rsidR="00351C9B">
        <w:rPr>
          <w:rFonts w:eastAsia="Gulim" w:cstheme="minorHAnsi"/>
          <w:bCs/>
        </w:rPr>
        <w:t xml:space="preserve"> Y IV</w:t>
      </w:r>
      <w:r w:rsidRPr="00A925DF">
        <w:rPr>
          <w:rFonts w:eastAsia="Gulim" w:cstheme="minorHAnsi"/>
          <w:bCs/>
        </w:rPr>
        <w:t xml:space="preserve"> DE LA LEY ORGÁNICA MUNICIPAL DEL ESTADO DE MORELOS, Y;</w:t>
      </w:r>
    </w:p>
    <w:p w14:paraId="3189E2CC" w14:textId="77777777" w:rsidR="00120D93" w:rsidRPr="00A925DF" w:rsidRDefault="00120D93" w:rsidP="00120D93">
      <w:pPr>
        <w:tabs>
          <w:tab w:val="left" w:pos="0"/>
          <w:tab w:val="left" w:pos="2051"/>
        </w:tabs>
        <w:jc w:val="both"/>
        <w:rPr>
          <w:rFonts w:eastAsia="Gulim" w:cstheme="minorHAnsi"/>
          <w:bCs/>
        </w:rPr>
      </w:pPr>
    </w:p>
    <w:p w14:paraId="11CE8427" w14:textId="77777777" w:rsidR="00120D93" w:rsidRPr="00A925DF" w:rsidRDefault="00120D93" w:rsidP="00120D93">
      <w:pPr>
        <w:tabs>
          <w:tab w:val="left" w:pos="0"/>
          <w:tab w:val="left" w:pos="2051"/>
        </w:tabs>
        <w:jc w:val="center"/>
        <w:rPr>
          <w:rFonts w:eastAsia="Gulim" w:cstheme="minorHAnsi"/>
          <w:b/>
        </w:rPr>
      </w:pPr>
      <w:r w:rsidRPr="00A925DF">
        <w:rPr>
          <w:rFonts w:eastAsia="Gulim" w:cstheme="minorHAnsi"/>
          <w:b/>
        </w:rPr>
        <w:t>CONSIDERANDO</w:t>
      </w:r>
    </w:p>
    <w:p w14:paraId="3AB0900E" w14:textId="77777777" w:rsidR="00120D93" w:rsidRPr="00A925DF" w:rsidRDefault="00120D93" w:rsidP="00120D93">
      <w:pPr>
        <w:tabs>
          <w:tab w:val="left" w:pos="0"/>
          <w:tab w:val="left" w:pos="2051"/>
        </w:tabs>
        <w:jc w:val="both"/>
        <w:rPr>
          <w:rFonts w:eastAsia="Gulim" w:cstheme="minorHAnsi"/>
          <w:bCs/>
        </w:rPr>
      </w:pPr>
    </w:p>
    <w:p w14:paraId="2293324B" w14:textId="77777777" w:rsidR="00120D93" w:rsidRPr="00A925DF" w:rsidRDefault="00120D93" w:rsidP="00120D93">
      <w:pPr>
        <w:pStyle w:val="NormalWeb"/>
        <w:spacing w:before="0" w:beforeAutospacing="0" w:after="240" w:afterAutospacing="0"/>
        <w:jc w:val="both"/>
        <w:rPr>
          <w:rFonts w:asciiTheme="minorHAnsi" w:hAnsiTheme="minorHAnsi" w:cstheme="minorHAnsi"/>
          <w:color w:val="000000"/>
        </w:rPr>
      </w:pPr>
      <w:r w:rsidRPr="00A925DF">
        <w:rPr>
          <w:rFonts w:asciiTheme="minorHAnsi" w:hAnsiTheme="minorHAnsi" w:cstheme="minorHAnsi"/>
          <w:color w:val="000000"/>
        </w:rPr>
        <w:t>Que en razón a lo dispuesto por el artículo 115 de la Constitución Política de los Estados Unidos Mexicanos, en relación a lo previsto por los artículos 113 de la Constitución Política del Estado Libre y Soberano de Morelos y 2 de la Ley Orgánica Municipal del Estado de Morelos, el Municipio de Cuernavaca, está investido de personalidad jurídica propia y por consiguiente es susceptible de derechos y obligaciones, autónomo en su régimen interno, con capacidad para manejar su patrimonio conforme a la ley, organizar y regular su funcionamiento; su gobierno se ejerce por un Ayuntamiento de elección popular, que administra libremente su hacienda y está facultado para expedir la normatividad que regule su actuar y el de sus habitantes. </w:t>
      </w:r>
    </w:p>
    <w:p w14:paraId="03FD2C7C" w14:textId="77777777" w:rsidR="00891560" w:rsidRPr="00D67C55" w:rsidRDefault="00D67C55" w:rsidP="00D67C55">
      <w:pPr>
        <w:jc w:val="both"/>
        <w:rPr>
          <w:noProof/>
        </w:rPr>
      </w:pPr>
      <w:r w:rsidRPr="00D67C55">
        <w:rPr>
          <w:noProof/>
        </w:rPr>
        <w:t>Que el presupuesto de egresos para el Ejercicio Fiscal 2023 fue aprobado mediante acuerdo de cabildo SO/AC-227/23-XII-2022, en fecha 23 de diciembre del 2022, publicado en el Periódico oficial “Tierra y Libertad” ejemplar 6177 tercera sección en fecha 15 de marzo del 2023; y que en comunicado de prensa Núm. 10/23 de fecha 9 de enero de 2023 el Instituto Nacional De Estadística Y Geografía (INEGI) dio a conocer la actualización del valor de la Unidad de Medida y Actualización (UMA) con vigencia a partir del 1 de febrero de 2023; publicado en el Diario Oficial de la Federa</w:t>
      </w:r>
      <w:r>
        <w:rPr>
          <w:noProof/>
        </w:rPr>
        <w:t>ción el 10 de enero de 2023.</w:t>
      </w:r>
    </w:p>
    <w:p w14:paraId="22A03E3B" w14:textId="77777777" w:rsidR="00D67C55" w:rsidRPr="00D67C55" w:rsidRDefault="00D67C55" w:rsidP="00351C9B">
      <w:pPr>
        <w:spacing w:line="276" w:lineRule="auto"/>
        <w:jc w:val="both"/>
        <w:rPr>
          <w:rFonts w:cstheme="minorHAnsi"/>
          <w:noProof/>
        </w:rPr>
      </w:pPr>
    </w:p>
    <w:p w14:paraId="78802536" w14:textId="77777777" w:rsidR="00CA4D4E" w:rsidRPr="00F8653C" w:rsidRDefault="00CA4D4E" w:rsidP="00CA4D4E">
      <w:pPr>
        <w:jc w:val="both"/>
        <w:rPr>
          <w:rFonts w:cstheme="minorHAnsi"/>
        </w:rPr>
      </w:pPr>
      <w:r w:rsidRPr="00F8653C">
        <w:rPr>
          <w:rFonts w:cstheme="minorHAnsi"/>
        </w:rPr>
        <w:t>Por lo anteriormente expuesto y fundado, este Cuerpo Colegiado ha tenido a bien aprobar el presente</w:t>
      </w:r>
      <w:r w:rsidR="00891560" w:rsidRPr="00F8653C">
        <w:rPr>
          <w:rFonts w:cstheme="minorHAnsi"/>
        </w:rPr>
        <w:t>:</w:t>
      </w:r>
    </w:p>
    <w:p w14:paraId="67208944" w14:textId="77777777" w:rsidR="00CA4D4E" w:rsidRPr="00F8653C" w:rsidRDefault="00CA4D4E" w:rsidP="00CA4D4E">
      <w:pPr>
        <w:rPr>
          <w:rFonts w:cstheme="minorHAnsi"/>
        </w:rPr>
      </w:pPr>
    </w:p>
    <w:p w14:paraId="663EF142" w14:textId="77777777" w:rsidR="00CA4D4E" w:rsidRPr="00F8653C" w:rsidRDefault="00CA4D4E" w:rsidP="00CA4D4E">
      <w:pPr>
        <w:jc w:val="center"/>
        <w:rPr>
          <w:rFonts w:cstheme="minorHAnsi"/>
          <w:b/>
        </w:rPr>
      </w:pPr>
      <w:r w:rsidRPr="00F8653C">
        <w:rPr>
          <w:rFonts w:cstheme="minorHAnsi"/>
          <w:b/>
        </w:rPr>
        <w:t>ACUERDO</w:t>
      </w:r>
    </w:p>
    <w:p w14:paraId="17BA5EF9" w14:textId="77777777" w:rsidR="00CA4D4E" w:rsidRPr="00F8653C" w:rsidRDefault="00891560" w:rsidP="00CA4D4E">
      <w:pPr>
        <w:jc w:val="center"/>
        <w:rPr>
          <w:rFonts w:cstheme="minorHAnsi"/>
          <w:b/>
        </w:rPr>
      </w:pPr>
      <w:r w:rsidRPr="00F8653C">
        <w:rPr>
          <w:rFonts w:cstheme="minorHAnsi"/>
          <w:b/>
        </w:rPr>
        <w:t>SO/AC-30</w:t>
      </w:r>
      <w:r w:rsidR="00D67C55">
        <w:rPr>
          <w:rFonts w:cstheme="minorHAnsi"/>
          <w:b/>
        </w:rPr>
        <w:t>4</w:t>
      </w:r>
      <w:r w:rsidR="00CA4D4E" w:rsidRPr="00F8653C">
        <w:rPr>
          <w:rFonts w:cstheme="minorHAnsi"/>
          <w:b/>
        </w:rPr>
        <w:t>/22-III-2023</w:t>
      </w:r>
    </w:p>
    <w:p w14:paraId="63DA42CF" w14:textId="77777777" w:rsidR="00CA4D4E" w:rsidRPr="00F8653C" w:rsidRDefault="00CA4D4E" w:rsidP="00CA4D4E">
      <w:pPr>
        <w:rPr>
          <w:rFonts w:cstheme="minorHAnsi"/>
        </w:rPr>
      </w:pPr>
    </w:p>
    <w:p w14:paraId="4741DC8F" w14:textId="77777777" w:rsidR="00891560" w:rsidRPr="00F8653C" w:rsidRDefault="00D67C55" w:rsidP="00CA4D4E">
      <w:pPr>
        <w:jc w:val="both"/>
        <w:rPr>
          <w:rFonts w:cstheme="minorHAnsi"/>
          <w:b/>
        </w:rPr>
      </w:pPr>
      <w:r>
        <w:rPr>
          <w:rFonts w:cstheme="minorHAnsi"/>
          <w:b/>
        </w:rPr>
        <w:t xml:space="preserve">QUE </w:t>
      </w:r>
      <w:r w:rsidR="00F37545" w:rsidRPr="00F8653C">
        <w:rPr>
          <w:rFonts w:cstheme="minorHAnsi"/>
          <w:b/>
        </w:rPr>
        <w:t xml:space="preserve">AUTORIZA </w:t>
      </w:r>
      <w:r w:rsidR="00891560" w:rsidRPr="00F8653C">
        <w:rPr>
          <w:rFonts w:cstheme="minorHAnsi"/>
          <w:b/>
        </w:rPr>
        <w:t xml:space="preserve">LA </w:t>
      </w:r>
      <w:r>
        <w:rPr>
          <w:rFonts w:cstheme="minorHAnsi"/>
          <w:b/>
        </w:rPr>
        <w:t xml:space="preserve">MODIFICACIÓN AL ARTÍCULO 72 DEL PRESUPUESTO DE EGRESOS PARA EL EJERCICIO FISCAL 2023, DONDE SE DETERMINAN LOS MONTOS MÁXIMOS </w:t>
      </w:r>
      <w:r>
        <w:rPr>
          <w:rFonts w:cstheme="minorHAnsi"/>
          <w:b/>
        </w:rPr>
        <w:lastRenderedPageBreak/>
        <w:t>DE ADQUISICIONES PÚBLICAS DE BIENES Y SERVICIOS CON RECURSOS PROPIOS DEL AYUNTAMIENTO.</w:t>
      </w:r>
    </w:p>
    <w:p w14:paraId="44B7403A" w14:textId="77777777" w:rsidR="00CA4D4E" w:rsidRPr="00F8653C" w:rsidRDefault="00CA4D4E" w:rsidP="00CA4D4E">
      <w:pPr>
        <w:jc w:val="both"/>
        <w:rPr>
          <w:rFonts w:cstheme="minorHAnsi"/>
          <w:b/>
        </w:rPr>
      </w:pPr>
    </w:p>
    <w:p w14:paraId="4527C896" w14:textId="77777777" w:rsidR="00D67C55" w:rsidRDefault="00CA4D4E" w:rsidP="00F64B99">
      <w:pPr>
        <w:jc w:val="both"/>
        <w:rPr>
          <w:rFonts w:cstheme="minorHAnsi"/>
        </w:rPr>
      </w:pPr>
      <w:r w:rsidRPr="00F8653C">
        <w:rPr>
          <w:rFonts w:cstheme="minorHAnsi"/>
          <w:b/>
        </w:rPr>
        <w:t>ARTÍCULO PRIMERO.</w:t>
      </w:r>
      <w:r w:rsidRPr="00F8653C">
        <w:rPr>
          <w:rFonts w:cstheme="minorHAnsi"/>
        </w:rPr>
        <w:t xml:space="preserve"> </w:t>
      </w:r>
      <w:r w:rsidR="00D67C55" w:rsidRPr="00D67C55">
        <w:rPr>
          <w:rFonts w:cstheme="minorHAnsi"/>
        </w:rPr>
        <w:t>Se autoriza la modificación al artículo 72 del Presupuesto de Egresos del Municipio de Cuernavaca, Morelos para el ejercicio fiscal 2023, aprobado mediante acuerdo de cabildo SO/AC-227/23-XII-2022, en fecha 23 de diciembre del 2022, que indica los montos máximos de adquisiciones públicas de bienes y servicios con recursos propios del ayuntamiento, quedando de la siguiente manera:</w:t>
      </w:r>
    </w:p>
    <w:p w14:paraId="22470254" w14:textId="77777777" w:rsidR="00CA4D4E" w:rsidRDefault="00CA4D4E" w:rsidP="00F64B99">
      <w:pPr>
        <w:jc w:val="both"/>
        <w:rPr>
          <w:rFonts w:cstheme="minorHAnsi"/>
        </w:rPr>
      </w:pPr>
    </w:p>
    <w:p w14:paraId="19311035" w14:textId="77777777" w:rsidR="00D67C55" w:rsidRPr="00D67C55" w:rsidRDefault="00D67C55" w:rsidP="00D67C55">
      <w:pPr>
        <w:spacing w:line="276" w:lineRule="auto"/>
        <w:ind w:left="426" w:right="283"/>
        <w:jc w:val="both"/>
        <w:rPr>
          <w:rFonts w:cstheme="minorHAnsi"/>
          <w:bCs/>
        </w:rPr>
      </w:pPr>
      <w:r w:rsidRPr="00D67C55">
        <w:rPr>
          <w:rFonts w:cstheme="minorHAnsi"/>
          <w:b/>
        </w:rPr>
        <w:t xml:space="preserve">Artículo 72. </w:t>
      </w:r>
      <w:r w:rsidRPr="00D67C55">
        <w:rPr>
          <w:rFonts w:cstheme="minorHAnsi"/>
          <w:bCs/>
        </w:rPr>
        <w:t>En forma similar a las obras públicas, el municipio administrará sus adquisiciones públicas de bienes y servicios. Por adquisiciones públicas de bienes y servicios se entenderán, toda clase de convenios o contratos, cualquiera que sea su denominación legal, que el municipio, sus dependencias o entidades celebren para la compra de insumos, materiales, mercancías, materias primas y bienes muebles; arrendamientos y servicios que tengan por objeto cubrir las necesidades comunes de las dependencias de la Administración pública municipal, así como aquellos bienes necesarios para la realización de funciones específicas.</w:t>
      </w:r>
    </w:p>
    <w:p w14:paraId="0A4783DE" w14:textId="77777777" w:rsidR="00D67C55" w:rsidRPr="00D67C55" w:rsidRDefault="00D67C55" w:rsidP="00D67C55">
      <w:pPr>
        <w:spacing w:line="276" w:lineRule="auto"/>
        <w:jc w:val="both"/>
        <w:rPr>
          <w:rFonts w:cstheme="minorHAnsi"/>
          <w:bCs/>
        </w:rPr>
      </w:pPr>
      <w:r w:rsidRPr="00D67C55">
        <w:rPr>
          <w:rFonts w:cstheme="minorHAnsi"/>
          <w:bCs/>
        </w:rPr>
        <w:t xml:space="preserve"> </w:t>
      </w:r>
    </w:p>
    <w:p w14:paraId="749AA17B" w14:textId="77777777" w:rsidR="00D67C55" w:rsidRPr="00D67C55" w:rsidRDefault="00D67C55" w:rsidP="00295015">
      <w:pPr>
        <w:spacing w:line="276" w:lineRule="auto"/>
        <w:ind w:left="426" w:right="283"/>
        <w:jc w:val="both"/>
        <w:rPr>
          <w:rFonts w:cstheme="minorHAnsi"/>
          <w:bCs/>
        </w:rPr>
      </w:pPr>
      <w:r w:rsidRPr="00D67C55">
        <w:rPr>
          <w:rFonts w:cstheme="minorHAnsi"/>
          <w:bCs/>
        </w:rPr>
        <w:t>Los montos máximos de adquisiciones públicas de bienes y servicios se deberán apegar a la normatividad aplicable o a la que se pacte en los acuerdos o convenio</w:t>
      </w:r>
      <w:r w:rsidR="00295015">
        <w:rPr>
          <w:rFonts w:cstheme="minorHAnsi"/>
          <w:bCs/>
        </w:rPr>
        <w:t>s respectivos, de acuerdo a su fuente de f</w:t>
      </w:r>
      <w:r w:rsidRPr="00D67C55">
        <w:rPr>
          <w:rFonts w:cstheme="minorHAnsi"/>
          <w:bCs/>
        </w:rPr>
        <w:t>inanciamiento.</w:t>
      </w:r>
    </w:p>
    <w:p w14:paraId="6B31D09C" w14:textId="77777777" w:rsidR="00D67C55" w:rsidRPr="00D67C55" w:rsidRDefault="00D67C55" w:rsidP="00D67C55">
      <w:pPr>
        <w:spacing w:line="276" w:lineRule="auto"/>
        <w:jc w:val="both"/>
        <w:rPr>
          <w:rFonts w:cstheme="minorHAnsi"/>
          <w:bCs/>
        </w:rPr>
      </w:pPr>
    </w:p>
    <w:p w14:paraId="711CE449" w14:textId="77777777" w:rsidR="00D67C55" w:rsidRPr="00D67C55" w:rsidRDefault="00D67C55" w:rsidP="00D67C55">
      <w:pPr>
        <w:spacing w:line="276" w:lineRule="auto"/>
        <w:jc w:val="both"/>
        <w:rPr>
          <w:rFonts w:cstheme="minorHAnsi"/>
          <w:bCs/>
        </w:rPr>
      </w:pPr>
      <w:r w:rsidRPr="00D67C55">
        <w:rPr>
          <w:rFonts w:cstheme="minorHAnsi"/>
          <w:bCs/>
        </w:rPr>
        <w:t>En concordancia con lo anterior se presentan a continuación, los montos de actuación que, de manera general, servirán para determinar el procedimiento de adquisición a seguir:</w:t>
      </w:r>
    </w:p>
    <w:p w14:paraId="7C6EA8D8" w14:textId="77777777" w:rsidR="00D67C55" w:rsidRPr="00D67C55" w:rsidRDefault="00D67C55" w:rsidP="00D67C55">
      <w:pPr>
        <w:spacing w:line="276" w:lineRule="auto"/>
        <w:jc w:val="both"/>
        <w:rPr>
          <w:rFonts w:cstheme="minorHAnsi"/>
          <w:bCs/>
        </w:rPr>
      </w:pPr>
    </w:p>
    <w:tbl>
      <w:tblPr>
        <w:tblW w:w="8647" w:type="dxa"/>
        <w:tblInd w:w="-10" w:type="dxa"/>
        <w:tblCellMar>
          <w:left w:w="0" w:type="dxa"/>
          <w:right w:w="0" w:type="dxa"/>
        </w:tblCellMar>
        <w:tblLook w:val="04A0" w:firstRow="1" w:lastRow="0" w:firstColumn="1" w:lastColumn="0" w:noHBand="0" w:noVBand="1"/>
      </w:tblPr>
      <w:tblGrid>
        <w:gridCol w:w="601"/>
        <w:gridCol w:w="1942"/>
        <w:gridCol w:w="1265"/>
        <w:gridCol w:w="1539"/>
        <w:gridCol w:w="1613"/>
        <w:gridCol w:w="1687"/>
      </w:tblGrid>
      <w:tr w:rsidR="00D67C55" w:rsidRPr="00D67C55" w14:paraId="7287C3BA" w14:textId="77777777" w:rsidTr="00295015">
        <w:trPr>
          <w:trHeight w:val="894"/>
        </w:trPr>
        <w:tc>
          <w:tcPr>
            <w:tcW w:w="601" w:type="dxa"/>
            <w:tcBorders>
              <w:top w:val="single" w:sz="8" w:space="0" w:color="BDD6EE"/>
              <w:left w:val="single" w:sz="8" w:space="0" w:color="BDD6EE"/>
              <w:bottom w:val="single" w:sz="12" w:space="0" w:color="9CC2E5"/>
              <w:right w:val="single" w:sz="8" w:space="0" w:color="BDD6EE"/>
            </w:tcBorders>
            <w:shd w:val="clear" w:color="auto" w:fill="auto"/>
            <w:tcMar>
              <w:top w:w="15" w:type="dxa"/>
              <w:left w:w="108" w:type="dxa"/>
              <w:bottom w:w="0" w:type="dxa"/>
              <w:right w:w="108" w:type="dxa"/>
            </w:tcMar>
            <w:vAlign w:val="center"/>
            <w:hideMark/>
          </w:tcPr>
          <w:p w14:paraId="3C506F10" w14:textId="77777777" w:rsidR="00D67C55" w:rsidRPr="00D67C55" w:rsidRDefault="00D67C55" w:rsidP="008C1038">
            <w:pPr>
              <w:spacing w:line="276" w:lineRule="auto"/>
              <w:jc w:val="center"/>
              <w:rPr>
                <w:rFonts w:cstheme="minorHAnsi"/>
              </w:rPr>
            </w:pPr>
            <w:r w:rsidRPr="00D67C55">
              <w:rPr>
                <w:rFonts w:cstheme="minorHAnsi"/>
                <w:b/>
                <w:bCs/>
              </w:rPr>
              <w:t>No.</w:t>
            </w:r>
          </w:p>
        </w:tc>
        <w:tc>
          <w:tcPr>
            <w:tcW w:w="1942" w:type="dxa"/>
            <w:tcBorders>
              <w:top w:val="single" w:sz="8" w:space="0" w:color="BDD6EE"/>
              <w:left w:val="single" w:sz="8" w:space="0" w:color="BDD6EE"/>
              <w:bottom w:val="single" w:sz="12" w:space="0" w:color="9CC2E5"/>
              <w:right w:val="single" w:sz="8" w:space="0" w:color="BDD6EE"/>
            </w:tcBorders>
            <w:shd w:val="clear" w:color="auto" w:fill="auto"/>
            <w:tcMar>
              <w:top w:w="15" w:type="dxa"/>
              <w:left w:w="108" w:type="dxa"/>
              <w:bottom w:w="0" w:type="dxa"/>
              <w:right w:w="108" w:type="dxa"/>
            </w:tcMar>
            <w:vAlign w:val="center"/>
            <w:hideMark/>
          </w:tcPr>
          <w:p w14:paraId="74C197BE" w14:textId="77777777" w:rsidR="00D67C55" w:rsidRPr="00D67C55" w:rsidRDefault="00D67C55" w:rsidP="008C1038">
            <w:pPr>
              <w:spacing w:line="276" w:lineRule="auto"/>
              <w:jc w:val="center"/>
              <w:rPr>
                <w:rFonts w:cstheme="minorHAnsi"/>
              </w:rPr>
            </w:pPr>
            <w:r w:rsidRPr="00D67C55">
              <w:rPr>
                <w:rFonts w:cstheme="minorHAnsi"/>
                <w:b/>
                <w:bCs/>
              </w:rPr>
              <w:t>Tipo de Procedimiento</w:t>
            </w:r>
          </w:p>
        </w:tc>
        <w:tc>
          <w:tcPr>
            <w:tcW w:w="1265" w:type="dxa"/>
            <w:tcBorders>
              <w:top w:val="single" w:sz="8" w:space="0" w:color="BDD6EE"/>
              <w:left w:val="single" w:sz="8" w:space="0" w:color="BDD6EE"/>
              <w:bottom w:val="single" w:sz="12" w:space="0" w:color="9CC2E5"/>
              <w:right w:val="single" w:sz="8" w:space="0" w:color="BDD6EE"/>
            </w:tcBorders>
            <w:shd w:val="clear" w:color="auto" w:fill="auto"/>
            <w:tcMar>
              <w:top w:w="15" w:type="dxa"/>
              <w:left w:w="108" w:type="dxa"/>
              <w:bottom w:w="0" w:type="dxa"/>
              <w:right w:w="108" w:type="dxa"/>
            </w:tcMar>
            <w:vAlign w:val="center"/>
            <w:hideMark/>
          </w:tcPr>
          <w:p w14:paraId="41E7598C" w14:textId="77777777" w:rsidR="00D67C55" w:rsidRPr="00D67C55" w:rsidRDefault="00D67C55" w:rsidP="008C1038">
            <w:pPr>
              <w:spacing w:line="276" w:lineRule="auto"/>
              <w:jc w:val="center"/>
              <w:rPr>
                <w:rFonts w:cstheme="minorHAnsi"/>
              </w:rPr>
            </w:pPr>
            <w:r w:rsidRPr="00D67C55">
              <w:rPr>
                <w:rFonts w:cstheme="minorHAnsi"/>
                <w:b/>
                <w:bCs/>
              </w:rPr>
              <w:t>Valor UMA</w:t>
            </w:r>
          </w:p>
        </w:tc>
        <w:tc>
          <w:tcPr>
            <w:tcW w:w="1539" w:type="dxa"/>
            <w:tcBorders>
              <w:top w:val="single" w:sz="8" w:space="0" w:color="BDD6EE"/>
              <w:left w:val="single" w:sz="8" w:space="0" w:color="BDD6EE"/>
              <w:bottom w:val="single" w:sz="12" w:space="0" w:color="9CC2E5"/>
              <w:right w:val="single" w:sz="8" w:space="0" w:color="BDD6EE"/>
            </w:tcBorders>
            <w:shd w:val="clear" w:color="auto" w:fill="auto"/>
            <w:tcMar>
              <w:top w:w="15" w:type="dxa"/>
              <w:left w:w="108" w:type="dxa"/>
              <w:bottom w:w="0" w:type="dxa"/>
              <w:right w:w="108" w:type="dxa"/>
            </w:tcMar>
            <w:vAlign w:val="center"/>
            <w:hideMark/>
          </w:tcPr>
          <w:p w14:paraId="63631DB5" w14:textId="77777777" w:rsidR="00D67C55" w:rsidRPr="00D67C55" w:rsidRDefault="00D67C55" w:rsidP="008C1038">
            <w:pPr>
              <w:spacing w:line="276" w:lineRule="auto"/>
              <w:jc w:val="center"/>
              <w:rPr>
                <w:rFonts w:cstheme="minorHAnsi"/>
              </w:rPr>
            </w:pPr>
            <w:r w:rsidRPr="00D67C55">
              <w:rPr>
                <w:rFonts w:cstheme="minorHAnsi"/>
                <w:b/>
                <w:bCs/>
              </w:rPr>
              <w:t>Total de UMAS</w:t>
            </w:r>
          </w:p>
        </w:tc>
        <w:tc>
          <w:tcPr>
            <w:tcW w:w="1613" w:type="dxa"/>
            <w:tcBorders>
              <w:top w:val="single" w:sz="8" w:space="0" w:color="BDD6EE"/>
              <w:left w:val="single" w:sz="8" w:space="0" w:color="BDD6EE"/>
              <w:bottom w:val="single" w:sz="12" w:space="0" w:color="9CC2E5"/>
              <w:right w:val="single" w:sz="8" w:space="0" w:color="BDD6EE"/>
            </w:tcBorders>
            <w:shd w:val="clear" w:color="auto" w:fill="auto"/>
            <w:tcMar>
              <w:top w:w="15" w:type="dxa"/>
              <w:left w:w="108" w:type="dxa"/>
              <w:bottom w:w="0" w:type="dxa"/>
              <w:right w:w="108" w:type="dxa"/>
            </w:tcMar>
            <w:vAlign w:val="center"/>
            <w:hideMark/>
          </w:tcPr>
          <w:p w14:paraId="6C779E64" w14:textId="77777777" w:rsidR="00D67C55" w:rsidRPr="00D67C55" w:rsidRDefault="00D67C55" w:rsidP="008C1038">
            <w:pPr>
              <w:spacing w:line="276" w:lineRule="auto"/>
              <w:jc w:val="center"/>
              <w:rPr>
                <w:rFonts w:cstheme="minorHAnsi"/>
              </w:rPr>
            </w:pPr>
            <w:r w:rsidRPr="00D67C55">
              <w:rPr>
                <w:rFonts w:cstheme="minorHAnsi"/>
                <w:b/>
                <w:bCs/>
              </w:rPr>
              <w:t>Monto sin IVA</w:t>
            </w:r>
          </w:p>
        </w:tc>
        <w:tc>
          <w:tcPr>
            <w:tcW w:w="1687" w:type="dxa"/>
            <w:tcBorders>
              <w:top w:val="single" w:sz="8" w:space="0" w:color="BDD6EE"/>
              <w:left w:val="single" w:sz="8" w:space="0" w:color="BDD6EE"/>
              <w:bottom w:val="single" w:sz="12" w:space="0" w:color="9CC2E5"/>
              <w:right w:val="single" w:sz="8" w:space="0" w:color="BDD6EE"/>
            </w:tcBorders>
            <w:shd w:val="clear" w:color="auto" w:fill="auto"/>
            <w:tcMar>
              <w:top w:w="15" w:type="dxa"/>
              <w:left w:w="108" w:type="dxa"/>
              <w:bottom w:w="0" w:type="dxa"/>
              <w:right w:w="108" w:type="dxa"/>
            </w:tcMar>
            <w:vAlign w:val="center"/>
            <w:hideMark/>
          </w:tcPr>
          <w:p w14:paraId="440442E9" w14:textId="77777777" w:rsidR="00D67C55" w:rsidRPr="00D67C55" w:rsidRDefault="00D67C55" w:rsidP="008C1038">
            <w:pPr>
              <w:spacing w:line="276" w:lineRule="auto"/>
              <w:jc w:val="center"/>
              <w:rPr>
                <w:rFonts w:cstheme="minorHAnsi"/>
              </w:rPr>
            </w:pPr>
            <w:r w:rsidRPr="00D67C55">
              <w:rPr>
                <w:rFonts w:cstheme="minorHAnsi"/>
                <w:b/>
                <w:bCs/>
              </w:rPr>
              <w:t>Monto con IVA</w:t>
            </w:r>
          </w:p>
        </w:tc>
      </w:tr>
      <w:tr w:rsidR="00D67C55" w:rsidRPr="00D67C55" w14:paraId="43245A32" w14:textId="77777777" w:rsidTr="00295015">
        <w:trPr>
          <w:trHeight w:val="571"/>
        </w:trPr>
        <w:tc>
          <w:tcPr>
            <w:tcW w:w="601" w:type="dxa"/>
            <w:tcBorders>
              <w:top w:val="single" w:sz="12" w:space="0" w:color="9CC2E5"/>
              <w:left w:val="single" w:sz="8" w:space="0" w:color="BDD6EE"/>
              <w:bottom w:val="single" w:sz="8" w:space="0" w:color="BDD6EE"/>
              <w:right w:val="single" w:sz="8" w:space="0" w:color="BDD6EE"/>
            </w:tcBorders>
            <w:shd w:val="clear" w:color="auto" w:fill="auto"/>
            <w:tcMar>
              <w:top w:w="15" w:type="dxa"/>
              <w:left w:w="108" w:type="dxa"/>
              <w:bottom w:w="0" w:type="dxa"/>
              <w:right w:w="108" w:type="dxa"/>
            </w:tcMar>
            <w:hideMark/>
          </w:tcPr>
          <w:p w14:paraId="5D6CA3AA" w14:textId="77777777" w:rsidR="00D67C55" w:rsidRPr="00D67C55" w:rsidRDefault="00D67C55" w:rsidP="008C1038">
            <w:pPr>
              <w:spacing w:line="276" w:lineRule="auto"/>
              <w:jc w:val="both"/>
              <w:rPr>
                <w:rFonts w:cstheme="minorHAnsi"/>
              </w:rPr>
            </w:pPr>
            <w:r w:rsidRPr="00D67C55">
              <w:rPr>
                <w:rFonts w:cstheme="minorHAnsi"/>
                <w:b/>
                <w:bCs/>
              </w:rPr>
              <w:t>1</w:t>
            </w:r>
          </w:p>
        </w:tc>
        <w:tc>
          <w:tcPr>
            <w:tcW w:w="1942" w:type="dxa"/>
            <w:tcBorders>
              <w:top w:val="single" w:sz="12" w:space="0" w:color="9CC2E5"/>
              <w:left w:val="single" w:sz="8" w:space="0" w:color="BDD6EE"/>
              <w:bottom w:val="single" w:sz="8" w:space="0" w:color="BDD6EE"/>
              <w:right w:val="single" w:sz="8" w:space="0" w:color="BDD6EE"/>
            </w:tcBorders>
            <w:shd w:val="clear" w:color="auto" w:fill="auto"/>
            <w:tcMar>
              <w:top w:w="15" w:type="dxa"/>
              <w:left w:w="108" w:type="dxa"/>
              <w:bottom w:w="0" w:type="dxa"/>
              <w:right w:w="108" w:type="dxa"/>
            </w:tcMar>
            <w:hideMark/>
          </w:tcPr>
          <w:p w14:paraId="2BCF9C95" w14:textId="77777777" w:rsidR="00D67C55" w:rsidRPr="00D67C55" w:rsidRDefault="00D67C55" w:rsidP="008C1038">
            <w:pPr>
              <w:spacing w:line="276" w:lineRule="auto"/>
              <w:jc w:val="both"/>
              <w:rPr>
                <w:rFonts w:cstheme="minorHAnsi"/>
              </w:rPr>
            </w:pPr>
            <w:r w:rsidRPr="00D67C55">
              <w:rPr>
                <w:rFonts w:cstheme="minorHAnsi"/>
              </w:rPr>
              <w:t>Adjudicación Directa</w:t>
            </w:r>
          </w:p>
        </w:tc>
        <w:tc>
          <w:tcPr>
            <w:tcW w:w="1265" w:type="dxa"/>
            <w:tcBorders>
              <w:top w:val="single" w:sz="12" w:space="0" w:color="9CC2E5"/>
              <w:left w:val="single" w:sz="8" w:space="0" w:color="BDD6EE"/>
              <w:bottom w:val="single" w:sz="8" w:space="0" w:color="BDD6EE"/>
              <w:right w:val="single" w:sz="8" w:space="0" w:color="BDD6EE"/>
            </w:tcBorders>
            <w:shd w:val="clear" w:color="auto" w:fill="auto"/>
            <w:tcMar>
              <w:top w:w="15" w:type="dxa"/>
              <w:left w:w="108" w:type="dxa"/>
              <w:bottom w:w="0" w:type="dxa"/>
              <w:right w:w="108" w:type="dxa"/>
            </w:tcMar>
            <w:hideMark/>
          </w:tcPr>
          <w:p w14:paraId="56B6C237" w14:textId="77777777" w:rsidR="00D67C55" w:rsidRPr="00D67C55" w:rsidRDefault="00D67C55" w:rsidP="008C1038">
            <w:pPr>
              <w:spacing w:line="276" w:lineRule="auto"/>
              <w:jc w:val="both"/>
              <w:rPr>
                <w:rFonts w:cstheme="minorHAnsi"/>
              </w:rPr>
            </w:pPr>
            <w:r w:rsidRPr="00D67C55">
              <w:rPr>
                <w:rFonts w:cstheme="minorHAnsi"/>
              </w:rPr>
              <w:t>$ 103.74</w:t>
            </w:r>
          </w:p>
        </w:tc>
        <w:tc>
          <w:tcPr>
            <w:tcW w:w="1539" w:type="dxa"/>
            <w:tcBorders>
              <w:top w:val="single" w:sz="12" w:space="0" w:color="9CC2E5"/>
              <w:left w:val="single" w:sz="8" w:space="0" w:color="BDD6EE"/>
              <w:bottom w:val="single" w:sz="8" w:space="0" w:color="BDD6EE"/>
              <w:right w:val="single" w:sz="8" w:space="0" w:color="BDD6EE"/>
            </w:tcBorders>
            <w:shd w:val="clear" w:color="auto" w:fill="auto"/>
            <w:tcMar>
              <w:top w:w="15" w:type="dxa"/>
              <w:left w:w="108" w:type="dxa"/>
              <w:bottom w:w="0" w:type="dxa"/>
              <w:right w:w="108" w:type="dxa"/>
            </w:tcMar>
            <w:hideMark/>
          </w:tcPr>
          <w:p w14:paraId="3C4599C3" w14:textId="77777777" w:rsidR="00D67C55" w:rsidRPr="00D67C55" w:rsidRDefault="00D67C55" w:rsidP="008C1038">
            <w:pPr>
              <w:spacing w:line="276" w:lineRule="auto"/>
              <w:jc w:val="both"/>
              <w:rPr>
                <w:rFonts w:cstheme="minorHAnsi"/>
              </w:rPr>
            </w:pPr>
            <w:r w:rsidRPr="00D67C55">
              <w:rPr>
                <w:rFonts w:cstheme="minorHAnsi"/>
              </w:rPr>
              <w:t>Hasta 6700</w:t>
            </w:r>
          </w:p>
        </w:tc>
        <w:tc>
          <w:tcPr>
            <w:tcW w:w="1613" w:type="dxa"/>
            <w:tcBorders>
              <w:top w:val="single" w:sz="12" w:space="0" w:color="9CC2E5"/>
              <w:left w:val="single" w:sz="8" w:space="0" w:color="BDD6EE"/>
              <w:bottom w:val="single" w:sz="8" w:space="0" w:color="BDD6EE"/>
              <w:right w:val="single" w:sz="8" w:space="0" w:color="BDD6EE"/>
            </w:tcBorders>
            <w:shd w:val="clear" w:color="auto" w:fill="auto"/>
            <w:tcMar>
              <w:top w:w="15" w:type="dxa"/>
              <w:left w:w="108" w:type="dxa"/>
              <w:bottom w:w="0" w:type="dxa"/>
              <w:right w:w="108" w:type="dxa"/>
            </w:tcMar>
            <w:hideMark/>
          </w:tcPr>
          <w:p w14:paraId="5528A940" w14:textId="77777777" w:rsidR="00D67C55" w:rsidRPr="00D67C55" w:rsidRDefault="00D67C55" w:rsidP="008C1038">
            <w:pPr>
              <w:spacing w:line="276" w:lineRule="auto"/>
              <w:jc w:val="right"/>
              <w:rPr>
                <w:rFonts w:cstheme="minorHAnsi"/>
              </w:rPr>
            </w:pPr>
            <w:r w:rsidRPr="00D67C55">
              <w:rPr>
                <w:rFonts w:cstheme="minorHAnsi"/>
              </w:rPr>
              <w:t>$695,058.00</w:t>
            </w:r>
          </w:p>
        </w:tc>
        <w:tc>
          <w:tcPr>
            <w:tcW w:w="1687" w:type="dxa"/>
            <w:tcBorders>
              <w:top w:val="single" w:sz="12" w:space="0" w:color="9CC2E5"/>
              <w:left w:val="single" w:sz="8" w:space="0" w:color="BDD6EE"/>
              <w:bottom w:val="single" w:sz="8" w:space="0" w:color="BDD6EE"/>
              <w:right w:val="single" w:sz="8" w:space="0" w:color="BDD6EE"/>
            </w:tcBorders>
            <w:shd w:val="clear" w:color="auto" w:fill="auto"/>
            <w:tcMar>
              <w:top w:w="15" w:type="dxa"/>
              <w:left w:w="108" w:type="dxa"/>
              <w:bottom w:w="0" w:type="dxa"/>
              <w:right w:w="108" w:type="dxa"/>
            </w:tcMar>
            <w:hideMark/>
          </w:tcPr>
          <w:p w14:paraId="13F1ED2C" w14:textId="77777777" w:rsidR="00D67C55" w:rsidRPr="00D67C55" w:rsidRDefault="00D67C55" w:rsidP="008C1038">
            <w:pPr>
              <w:spacing w:line="276" w:lineRule="auto"/>
              <w:jc w:val="right"/>
              <w:rPr>
                <w:rFonts w:cstheme="minorHAnsi"/>
              </w:rPr>
            </w:pPr>
            <w:r w:rsidRPr="00D67C55">
              <w:rPr>
                <w:rFonts w:cstheme="minorHAnsi"/>
              </w:rPr>
              <w:t xml:space="preserve">$806,267.28 </w:t>
            </w:r>
          </w:p>
        </w:tc>
      </w:tr>
      <w:tr w:rsidR="00D67C55" w:rsidRPr="00D67C55" w14:paraId="0C894AA0" w14:textId="77777777" w:rsidTr="00295015">
        <w:trPr>
          <w:trHeight w:val="454"/>
        </w:trPr>
        <w:tc>
          <w:tcPr>
            <w:tcW w:w="601" w:type="dxa"/>
            <w:tcBorders>
              <w:top w:val="single" w:sz="8" w:space="0" w:color="BDD6EE"/>
              <w:left w:val="single" w:sz="8" w:space="0" w:color="BDD6EE"/>
              <w:bottom w:val="single" w:sz="8" w:space="0" w:color="BDD6EE"/>
              <w:right w:val="single" w:sz="8" w:space="0" w:color="BDD6EE"/>
            </w:tcBorders>
            <w:shd w:val="clear" w:color="auto" w:fill="auto"/>
            <w:tcMar>
              <w:top w:w="15" w:type="dxa"/>
              <w:left w:w="108" w:type="dxa"/>
              <w:bottom w:w="0" w:type="dxa"/>
              <w:right w:w="108" w:type="dxa"/>
            </w:tcMar>
            <w:hideMark/>
          </w:tcPr>
          <w:p w14:paraId="64A50641" w14:textId="77777777" w:rsidR="00D67C55" w:rsidRPr="00D67C55" w:rsidRDefault="00D67C55" w:rsidP="008C1038">
            <w:pPr>
              <w:spacing w:line="276" w:lineRule="auto"/>
              <w:jc w:val="both"/>
              <w:rPr>
                <w:rFonts w:cstheme="minorHAnsi"/>
              </w:rPr>
            </w:pPr>
            <w:r w:rsidRPr="00D67C55">
              <w:rPr>
                <w:rFonts w:cstheme="minorHAnsi"/>
                <w:b/>
                <w:bCs/>
              </w:rPr>
              <w:t>2</w:t>
            </w:r>
          </w:p>
        </w:tc>
        <w:tc>
          <w:tcPr>
            <w:tcW w:w="1942" w:type="dxa"/>
            <w:tcBorders>
              <w:top w:val="single" w:sz="8" w:space="0" w:color="BDD6EE"/>
              <w:left w:val="single" w:sz="8" w:space="0" w:color="BDD6EE"/>
              <w:bottom w:val="single" w:sz="8" w:space="0" w:color="BDD6EE"/>
              <w:right w:val="single" w:sz="8" w:space="0" w:color="BDD6EE"/>
            </w:tcBorders>
            <w:shd w:val="clear" w:color="auto" w:fill="auto"/>
            <w:tcMar>
              <w:top w:w="15" w:type="dxa"/>
              <w:left w:w="108" w:type="dxa"/>
              <w:bottom w:w="0" w:type="dxa"/>
              <w:right w:w="108" w:type="dxa"/>
            </w:tcMar>
            <w:hideMark/>
          </w:tcPr>
          <w:p w14:paraId="29EDE081" w14:textId="77777777" w:rsidR="00D67C55" w:rsidRPr="00D67C55" w:rsidRDefault="00D67C55" w:rsidP="008C1038">
            <w:pPr>
              <w:spacing w:line="276" w:lineRule="auto"/>
              <w:jc w:val="both"/>
              <w:rPr>
                <w:rFonts w:cstheme="minorHAnsi"/>
              </w:rPr>
            </w:pPr>
            <w:r w:rsidRPr="00D67C55">
              <w:rPr>
                <w:rFonts w:cstheme="minorHAnsi"/>
              </w:rPr>
              <w:t>Invitación Restringida</w:t>
            </w:r>
          </w:p>
        </w:tc>
        <w:tc>
          <w:tcPr>
            <w:tcW w:w="1265" w:type="dxa"/>
            <w:tcBorders>
              <w:top w:val="single" w:sz="8" w:space="0" w:color="BDD6EE"/>
              <w:left w:val="single" w:sz="8" w:space="0" w:color="BDD6EE"/>
              <w:bottom w:val="single" w:sz="8" w:space="0" w:color="BDD6EE"/>
              <w:right w:val="single" w:sz="8" w:space="0" w:color="BDD6EE"/>
            </w:tcBorders>
            <w:shd w:val="clear" w:color="auto" w:fill="auto"/>
            <w:tcMar>
              <w:top w:w="15" w:type="dxa"/>
              <w:left w:w="108" w:type="dxa"/>
              <w:bottom w:w="0" w:type="dxa"/>
              <w:right w:w="108" w:type="dxa"/>
            </w:tcMar>
            <w:hideMark/>
          </w:tcPr>
          <w:p w14:paraId="25CA7621" w14:textId="77777777" w:rsidR="00D67C55" w:rsidRPr="00D67C55" w:rsidRDefault="00D67C55" w:rsidP="008C1038">
            <w:pPr>
              <w:spacing w:line="276" w:lineRule="auto"/>
              <w:jc w:val="both"/>
              <w:rPr>
                <w:rFonts w:cstheme="minorHAnsi"/>
              </w:rPr>
            </w:pPr>
            <w:r w:rsidRPr="00D67C55">
              <w:rPr>
                <w:rFonts w:cstheme="minorHAnsi"/>
              </w:rPr>
              <w:t>$ 103.74</w:t>
            </w:r>
          </w:p>
        </w:tc>
        <w:tc>
          <w:tcPr>
            <w:tcW w:w="1539" w:type="dxa"/>
            <w:tcBorders>
              <w:top w:val="single" w:sz="8" w:space="0" w:color="BDD6EE"/>
              <w:left w:val="single" w:sz="8" w:space="0" w:color="BDD6EE"/>
              <w:bottom w:val="single" w:sz="8" w:space="0" w:color="BDD6EE"/>
              <w:right w:val="single" w:sz="8" w:space="0" w:color="BDD6EE"/>
            </w:tcBorders>
            <w:shd w:val="clear" w:color="auto" w:fill="auto"/>
            <w:tcMar>
              <w:top w:w="15" w:type="dxa"/>
              <w:left w:w="108" w:type="dxa"/>
              <w:bottom w:w="0" w:type="dxa"/>
              <w:right w:w="108" w:type="dxa"/>
            </w:tcMar>
            <w:hideMark/>
          </w:tcPr>
          <w:p w14:paraId="63228B7B" w14:textId="77777777" w:rsidR="00D67C55" w:rsidRPr="00D67C55" w:rsidRDefault="00D67C55" w:rsidP="008C1038">
            <w:pPr>
              <w:spacing w:line="276" w:lineRule="auto"/>
              <w:jc w:val="both"/>
              <w:rPr>
                <w:rFonts w:cstheme="minorHAnsi"/>
              </w:rPr>
            </w:pPr>
            <w:r w:rsidRPr="00D67C55">
              <w:rPr>
                <w:rFonts w:cstheme="minorHAnsi"/>
              </w:rPr>
              <w:t>Hasta 32900</w:t>
            </w:r>
          </w:p>
        </w:tc>
        <w:tc>
          <w:tcPr>
            <w:tcW w:w="1613" w:type="dxa"/>
            <w:tcBorders>
              <w:top w:val="single" w:sz="8" w:space="0" w:color="BDD6EE"/>
              <w:left w:val="single" w:sz="8" w:space="0" w:color="BDD6EE"/>
              <w:bottom w:val="single" w:sz="8" w:space="0" w:color="BDD6EE"/>
              <w:right w:val="single" w:sz="8" w:space="0" w:color="BDD6EE"/>
            </w:tcBorders>
            <w:shd w:val="clear" w:color="auto" w:fill="auto"/>
            <w:tcMar>
              <w:top w:w="15" w:type="dxa"/>
              <w:left w:w="108" w:type="dxa"/>
              <w:bottom w:w="0" w:type="dxa"/>
              <w:right w:w="108" w:type="dxa"/>
            </w:tcMar>
            <w:hideMark/>
          </w:tcPr>
          <w:p w14:paraId="3F4DD011" w14:textId="77777777" w:rsidR="00D67C55" w:rsidRPr="00D67C55" w:rsidRDefault="00D67C55" w:rsidP="008C1038">
            <w:pPr>
              <w:spacing w:line="276" w:lineRule="auto"/>
              <w:jc w:val="right"/>
              <w:rPr>
                <w:rFonts w:cstheme="minorHAnsi"/>
              </w:rPr>
            </w:pPr>
            <w:r w:rsidRPr="00D67C55">
              <w:rPr>
                <w:rFonts w:cstheme="minorHAnsi"/>
              </w:rPr>
              <w:t>$3,413,046.00</w:t>
            </w:r>
          </w:p>
        </w:tc>
        <w:tc>
          <w:tcPr>
            <w:tcW w:w="1687" w:type="dxa"/>
            <w:tcBorders>
              <w:top w:val="single" w:sz="8" w:space="0" w:color="BDD6EE"/>
              <w:left w:val="single" w:sz="8" w:space="0" w:color="BDD6EE"/>
              <w:bottom w:val="single" w:sz="8" w:space="0" w:color="BDD6EE"/>
              <w:right w:val="single" w:sz="8" w:space="0" w:color="BDD6EE"/>
            </w:tcBorders>
            <w:shd w:val="clear" w:color="auto" w:fill="auto"/>
            <w:tcMar>
              <w:top w:w="15" w:type="dxa"/>
              <w:left w:w="108" w:type="dxa"/>
              <w:bottom w:w="0" w:type="dxa"/>
              <w:right w:w="108" w:type="dxa"/>
            </w:tcMar>
            <w:hideMark/>
          </w:tcPr>
          <w:p w14:paraId="2733E29C" w14:textId="77777777" w:rsidR="00D67C55" w:rsidRPr="00D67C55" w:rsidRDefault="00D67C55" w:rsidP="008C1038">
            <w:pPr>
              <w:spacing w:line="276" w:lineRule="auto"/>
              <w:jc w:val="right"/>
              <w:rPr>
                <w:rFonts w:cstheme="minorHAnsi"/>
              </w:rPr>
            </w:pPr>
            <w:r w:rsidRPr="00D67C55">
              <w:rPr>
                <w:rFonts w:cstheme="minorHAnsi"/>
              </w:rPr>
              <w:t xml:space="preserve">$3,959,133.36 </w:t>
            </w:r>
          </w:p>
        </w:tc>
      </w:tr>
      <w:tr w:rsidR="00D67C55" w:rsidRPr="00D67C55" w14:paraId="38F9C932" w14:textId="77777777" w:rsidTr="00295015">
        <w:trPr>
          <w:trHeight w:val="731"/>
        </w:trPr>
        <w:tc>
          <w:tcPr>
            <w:tcW w:w="601" w:type="dxa"/>
            <w:tcBorders>
              <w:top w:val="single" w:sz="8" w:space="0" w:color="BDD6EE"/>
              <w:left w:val="single" w:sz="8" w:space="0" w:color="BDD6EE"/>
              <w:bottom w:val="single" w:sz="8" w:space="0" w:color="BDD6EE"/>
              <w:right w:val="single" w:sz="8" w:space="0" w:color="BDD6EE"/>
            </w:tcBorders>
            <w:shd w:val="clear" w:color="auto" w:fill="auto"/>
            <w:tcMar>
              <w:top w:w="15" w:type="dxa"/>
              <w:left w:w="108" w:type="dxa"/>
              <w:bottom w:w="0" w:type="dxa"/>
              <w:right w:w="108" w:type="dxa"/>
            </w:tcMar>
            <w:hideMark/>
          </w:tcPr>
          <w:p w14:paraId="0A008856" w14:textId="77777777" w:rsidR="00D67C55" w:rsidRPr="00D67C55" w:rsidRDefault="00D67C55" w:rsidP="008C1038">
            <w:pPr>
              <w:spacing w:line="276" w:lineRule="auto"/>
              <w:jc w:val="both"/>
              <w:rPr>
                <w:rFonts w:cstheme="minorHAnsi"/>
              </w:rPr>
            </w:pPr>
            <w:r w:rsidRPr="00D67C55">
              <w:rPr>
                <w:rFonts w:cstheme="minorHAnsi"/>
                <w:b/>
                <w:bCs/>
              </w:rPr>
              <w:t>3</w:t>
            </w:r>
          </w:p>
        </w:tc>
        <w:tc>
          <w:tcPr>
            <w:tcW w:w="1942" w:type="dxa"/>
            <w:tcBorders>
              <w:top w:val="single" w:sz="8" w:space="0" w:color="BDD6EE"/>
              <w:left w:val="single" w:sz="8" w:space="0" w:color="BDD6EE"/>
              <w:bottom w:val="single" w:sz="8" w:space="0" w:color="BDD6EE"/>
              <w:right w:val="single" w:sz="8" w:space="0" w:color="BDD6EE"/>
            </w:tcBorders>
            <w:shd w:val="clear" w:color="auto" w:fill="auto"/>
            <w:tcMar>
              <w:top w:w="15" w:type="dxa"/>
              <w:left w:w="108" w:type="dxa"/>
              <w:bottom w:w="0" w:type="dxa"/>
              <w:right w:w="108" w:type="dxa"/>
            </w:tcMar>
            <w:hideMark/>
          </w:tcPr>
          <w:p w14:paraId="517B0529" w14:textId="77777777" w:rsidR="00D67C55" w:rsidRPr="00D67C55" w:rsidRDefault="00D67C55" w:rsidP="008C1038">
            <w:pPr>
              <w:spacing w:line="276" w:lineRule="auto"/>
              <w:jc w:val="both"/>
              <w:rPr>
                <w:rFonts w:cstheme="minorHAnsi"/>
              </w:rPr>
            </w:pPr>
            <w:r w:rsidRPr="00D67C55">
              <w:rPr>
                <w:rFonts w:cstheme="minorHAnsi"/>
              </w:rPr>
              <w:t>Licitación Pública Nacional</w:t>
            </w:r>
          </w:p>
        </w:tc>
        <w:tc>
          <w:tcPr>
            <w:tcW w:w="1265" w:type="dxa"/>
            <w:tcBorders>
              <w:top w:val="single" w:sz="8" w:space="0" w:color="BDD6EE"/>
              <w:left w:val="single" w:sz="8" w:space="0" w:color="BDD6EE"/>
              <w:bottom w:val="single" w:sz="8" w:space="0" w:color="BDD6EE"/>
              <w:right w:val="single" w:sz="8" w:space="0" w:color="BDD6EE"/>
            </w:tcBorders>
            <w:shd w:val="clear" w:color="auto" w:fill="auto"/>
            <w:tcMar>
              <w:top w:w="15" w:type="dxa"/>
              <w:left w:w="108" w:type="dxa"/>
              <w:bottom w:w="0" w:type="dxa"/>
              <w:right w:w="108" w:type="dxa"/>
            </w:tcMar>
            <w:hideMark/>
          </w:tcPr>
          <w:p w14:paraId="7781DF64" w14:textId="77777777" w:rsidR="00D67C55" w:rsidRPr="00D67C55" w:rsidRDefault="00D67C55" w:rsidP="008C1038">
            <w:pPr>
              <w:spacing w:line="276" w:lineRule="auto"/>
              <w:jc w:val="both"/>
              <w:rPr>
                <w:rFonts w:cstheme="minorHAnsi"/>
              </w:rPr>
            </w:pPr>
            <w:r w:rsidRPr="00D67C55">
              <w:rPr>
                <w:rFonts w:cstheme="minorHAnsi"/>
              </w:rPr>
              <w:t>$ 103.74</w:t>
            </w:r>
          </w:p>
        </w:tc>
        <w:tc>
          <w:tcPr>
            <w:tcW w:w="1539" w:type="dxa"/>
            <w:tcBorders>
              <w:top w:val="single" w:sz="8" w:space="0" w:color="BDD6EE"/>
              <w:left w:val="single" w:sz="8" w:space="0" w:color="BDD6EE"/>
              <w:bottom w:val="single" w:sz="8" w:space="0" w:color="BDD6EE"/>
              <w:right w:val="single" w:sz="8" w:space="0" w:color="BDD6EE"/>
            </w:tcBorders>
            <w:shd w:val="clear" w:color="auto" w:fill="auto"/>
            <w:tcMar>
              <w:top w:w="15" w:type="dxa"/>
              <w:left w:w="108" w:type="dxa"/>
              <w:bottom w:w="0" w:type="dxa"/>
              <w:right w:w="108" w:type="dxa"/>
            </w:tcMar>
            <w:hideMark/>
          </w:tcPr>
          <w:p w14:paraId="4C63F5F0" w14:textId="77777777" w:rsidR="00D67C55" w:rsidRPr="00D67C55" w:rsidRDefault="00D67C55" w:rsidP="008C1038">
            <w:pPr>
              <w:spacing w:line="276" w:lineRule="auto"/>
              <w:jc w:val="both"/>
              <w:rPr>
                <w:rFonts w:cstheme="minorHAnsi"/>
              </w:rPr>
            </w:pPr>
            <w:r w:rsidRPr="00D67C55">
              <w:rPr>
                <w:rFonts w:cstheme="minorHAnsi"/>
              </w:rPr>
              <w:t>A partir de 32901</w:t>
            </w:r>
          </w:p>
        </w:tc>
        <w:tc>
          <w:tcPr>
            <w:tcW w:w="1613" w:type="dxa"/>
            <w:tcBorders>
              <w:top w:val="single" w:sz="8" w:space="0" w:color="BDD6EE"/>
              <w:left w:val="single" w:sz="8" w:space="0" w:color="BDD6EE"/>
              <w:bottom w:val="single" w:sz="8" w:space="0" w:color="BDD6EE"/>
              <w:right w:val="single" w:sz="8" w:space="0" w:color="BDD6EE"/>
            </w:tcBorders>
            <w:shd w:val="clear" w:color="auto" w:fill="auto"/>
            <w:tcMar>
              <w:top w:w="15" w:type="dxa"/>
              <w:left w:w="108" w:type="dxa"/>
              <w:bottom w:w="0" w:type="dxa"/>
              <w:right w:w="108" w:type="dxa"/>
            </w:tcMar>
            <w:hideMark/>
          </w:tcPr>
          <w:p w14:paraId="31DEE6B5" w14:textId="77777777" w:rsidR="00D67C55" w:rsidRPr="00D67C55" w:rsidRDefault="00D67C55" w:rsidP="008C1038">
            <w:pPr>
              <w:spacing w:line="276" w:lineRule="auto"/>
              <w:jc w:val="right"/>
              <w:rPr>
                <w:rFonts w:cstheme="minorHAnsi"/>
              </w:rPr>
            </w:pPr>
            <w:r w:rsidRPr="00D67C55">
              <w:rPr>
                <w:rFonts w:cstheme="minorHAnsi"/>
              </w:rPr>
              <w:t>$3,413,149.74</w:t>
            </w:r>
          </w:p>
        </w:tc>
        <w:tc>
          <w:tcPr>
            <w:tcW w:w="1687" w:type="dxa"/>
            <w:tcBorders>
              <w:top w:val="single" w:sz="8" w:space="0" w:color="BDD6EE"/>
              <w:left w:val="single" w:sz="8" w:space="0" w:color="BDD6EE"/>
              <w:bottom w:val="single" w:sz="8" w:space="0" w:color="BDD6EE"/>
              <w:right w:val="single" w:sz="8" w:space="0" w:color="BDD6EE"/>
            </w:tcBorders>
            <w:shd w:val="clear" w:color="auto" w:fill="auto"/>
            <w:tcMar>
              <w:top w:w="15" w:type="dxa"/>
              <w:left w:w="108" w:type="dxa"/>
              <w:bottom w:w="0" w:type="dxa"/>
              <w:right w:w="108" w:type="dxa"/>
            </w:tcMar>
            <w:hideMark/>
          </w:tcPr>
          <w:p w14:paraId="4F458485" w14:textId="77777777" w:rsidR="00D67C55" w:rsidRPr="00D67C55" w:rsidRDefault="00D67C55" w:rsidP="008C1038">
            <w:pPr>
              <w:spacing w:line="276" w:lineRule="auto"/>
              <w:jc w:val="right"/>
              <w:rPr>
                <w:rFonts w:cstheme="minorHAnsi"/>
              </w:rPr>
            </w:pPr>
            <w:r w:rsidRPr="00D67C55">
              <w:rPr>
                <w:rFonts w:cstheme="minorHAnsi"/>
              </w:rPr>
              <w:t xml:space="preserve">$3,959,253.70 </w:t>
            </w:r>
          </w:p>
        </w:tc>
      </w:tr>
    </w:tbl>
    <w:p w14:paraId="61A845B3" w14:textId="77777777" w:rsidR="00EC47DE" w:rsidRDefault="00F64B99" w:rsidP="00F64B99">
      <w:pPr>
        <w:jc w:val="both"/>
        <w:rPr>
          <w:rFonts w:cstheme="minorHAnsi"/>
        </w:rPr>
      </w:pPr>
      <w:r w:rsidRPr="00F8653C">
        <w:rPr>
          <w:rFonts w:cstheme="minorHAnsi"/>
          <w:b/>
        </w:rPr>
        <w:lastRenderedPageBreak/>
        <w:t>ARTÍCULO SEGUNDO.</w:t>
      </w:r>
      <w:r w:rsidRPr="00F8653C">
        <w:rPr>
          <w:rFonts w:cstheme="minorHAnsi"/>
        </w:rPr>
        <w:t xml:space="preserve"> La interpretación del presente Acuerdo para efectos administrativos, corresponderá</w:t>
      </w:r>
      <w:r w:rsidR="00EC47DE">
        <w:rPr>
          <w:rFonts w:cstheme="minorHAnsi"/>
        </w:rPr>
        <w:t xml:space="preserve"> a la Secretaría de </w:t>
      </w:r>
      <w:r w:rsidR="00295015">
        <w:rPr>
          <w:rFonts w:cstheme="minorHAnsi"/>
        </w:rPr>
        <w:t>Administración y a la Tesorería Municipal.</w:t>
      </w:r>
    </w:p>
    <w:p w14:paraId="0F86C942" w14:textId="77777777" w:rsidR="00295015" w:rsidRPr="00F8653C" w:rsidRDefault="00295015" w:rsidP="00F64B99">
      <w:pPr>
        <w:jc w:val="both"/>
        <w:rPr>
          <w:rFonts w:cstheme="minorHAnsi"/>
        </w:rPr>
      </w:pPr>
    </w:p>
    <w:p w14:paraId="40E3ABAA" w14:textId="77777777" w:rsidR="00F64B99" w:rsidRPr="00F8653C" w:rsidRDefault="00F64B99" w:rsidP="00F64B99">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spacing w:line="276" w:lineRule="auto"/>
        <w:jc w:val="both"/>
        <w:rPr>
          <w:rFonts w:eastAsia="Gulim" w:cstheme="minorHAnsi"/>
          <w:iCs/>
          <w:color w:val="000000"/>
        </w:rPr>
      </w:pPr>
      <w:r w:rsidRPr="00F8653C">
        <w:rPr>
          <w:rFonts w:eastAsia="Gulim" w:cstheme="minorHAnsi"/>
          <w:b/>
          <w:iCs/>
          <w:color w:val="000000"/>
        </w:rPr>
        <w:t>ARTÍCULO TERCERO. -</w:t>
      </w:r>
      <w:r w:rsidRPr="00F8653C">
        <w:rPr>
          <w:rFonts w:eastAsia="Gulim" w:cstheme="minorHAnsi"/>
          <w:iCs/>
          <w:color w:val="000000"/>
        </w:rPr>
        <w:t xml:space="preserve"> Se instruye a </w:t>
      </w:r>
      <w:r w:rsidR="00295015">
        <w:rPr>
          <w:rFonts w:eastAsia="Gulim" w:cstheme="minorHAnsi"/>
          <w:iCs/>
          <w:color w:val="000000"/>
        </w:rPr>
        <w:t>Secretaría del Ayuntamiento, remita el presente acuerdos a las Unidades Administrativas correspondientes,</w:t>
      </w:r>
      <w:r w:rsidRPr="00F8653C">
        <w:rPr>
          <w:rFonts w:eastAsia="Gulim" w:cstheme="minorHAnsi"/>
          <w:iCs/>
          <w:color w:val="000000"/>
        </w:rPr>
        <w:t xml:space="preserve"> a efecto de dar cabal cumplimiento al presente Acuerdo.</w:t>
      </w:r>
    </w:p>
    <w:p w14:paraId="793D658E" w14:textId="77777777" w:rsidR="00F64B99" w:rsidRPr="00F8653C" w:rsidRDefault="00F64B99" w:rsidP="004F20A9">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spacing w:line="276" w:lineRule="auto"/>
        <w:jc w:val="center"/>
        <w:rPr>
          <w:rFonts w:eastAsia="Gulim" w:cstheme="minorHAnsi"/>
          <w:b/>
          <w:iCs/>
          <w:color w:val="000000"/>
        </w:rPr>
      </w:pPr>
    </w:p>
    <w:p w14:paraId="436DFFC2" w14:textId="77777777" w:rsidR="004F20A9" w:rsidRPr="00F8653C" w:rsidRDefault="00120D93" w:rsidP="004F20A9">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spacing w:line="276" w:lineRule="auto"/>
        <w:jc w:val="center"/>
        <w:rPr>
          <w:rFonts w:eastAsia="Gulim" w:cstheme="minorHAnsi"/>
          <w:b/>
          <w:iCs/>
          <w:color w:val="000000"/>
        </w:rPr>
      </w:pPr>
      <w:r w:rsidRPr="00F8653C">
        <w:rPr>
          <w:rFonts w:eastAsia="Gulim" w:cstheme="minorHAnsi"/>
          <w:b/>
          <w:iCs/>
          <w:color w:val="000000"/>
        </w:rPr>
        <w:t>TRANSITORIOS</w:t>
      </w:r>
      <w:r w:rsidR="004F20A9" w:rsidRPr="00F8653C">
        <w:rPr>
          <w:rFonts w:eastAsia="Gulim" w:cstheme="minorHAnsi"/>
          <w:b/>
          <w:iCs/>
          <w:color w:val="000000"/>
        </w:rPr>
        <w:br/>
      </w:r>
    </w:p>
    <w:p w14:paraId="6DF98306" w14:textId="77777777" w:rsidR="00120D93" w:rsidRDefault="00CA4D4E" w:rsidP="000509AE">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spacing w:line="276" w:lineRule="auto"/>
        <w:jc w:val="both"/>
        <w:rPr>
          <w:rFonts w:eastAsia="Gulim" w:cstheme="minorHAnsi"/>
          <w:iCs/>
          <w:color w:val="000000"/>
        </w:rPr>
      </w:pPr>
      <w:r w:rsidRPr="00F8653C">
        <w:rPr>
          <w:rFonts w:eastAsia="Gulim" w:cstheme="minorHAnsi"/>
          <w:b/>
          <w:iCs/>
          <w:color w:val="000000"/>
        </w:rPr>
        <w:t>PRIMERO. -</w:t>
      </w:r>
      <w:r w:rsidR="00120D93" w:rsidRPr="00F8653C">
        <w:rPr>
          <w:rFonts w:eastAsia="Gulim" w:cstheme="minorHAnsi"/>
          <w:b/>
          <w:iCs/>
          <w:color w:val="000000"/>
        </w:rPr>
        <w:t xml:space="preserve"> </w:t>
      </w:r>
      <w:r w:rsidR="00120D93" w:rsidRPr="00F8653C">
        <w:rPr>
          <w:rFonts w:eastAsia="Gulim" w:cstheme="minorHAnsi"/>
          <w:iCs/>
          <w:color w:val="000000"/>
        </w:rPr>
        <w:t>El presente Acuerdo entrará en vigor el día de su aprobación por el Cabildo de Cuernavaca.</w:t>
      </w:r>
    </w:p>
    <w:p w14:paraId="18247D4F" w14:textId="77777777" w:rsidR="00295015" w:rsidRDefault="00295015" w:rsidP="000509AE">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spacing w:line="276" w:lineRule="auto"/>
        <w:jc w:val="both"/>
        <w:rPr>
          <w:rFonts w:eastAsia="Gulim" w:cstheme="minorHAnsi"/>
          <w:iCs/>
          <w:color w:val="000000"/>
        </w:rPr>
      </w:pPr>
    </w:p>
    <w:p w14:paraId="4AE80A8D" w14:textId="77777777" w:rsidR="00295015" w:rsidRPr="00F8653C" w:rsidRDefault="00295015" w:rsidP="000509AE">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spacing w:line="276" w:lineRule="auto"/>
        <w:jc w:val="both"/>
        <w:rPr>
          <w:rFonts w:eastAsia="Gulim" w:cstheme="minorHAnsi"/>
          <w:iCs/>
          <w:color w:val="000000"/>
        </w:rPr>
      </w:pPr>
      <w:r w:rsidRPr="00295015">
        <w:rPr>
          <w:rFonts w:eastAsia="Gulim" w:cstheme="minorHAnsi"/>
          <w:iCs/>
          <w:color w:val="000000"/>
        </w:rPr>
        <w:t>La vigencia de los montos máximos de adquisiciones públicas de bienes y servicios serán en concordancia con la vigencia de la Unidad de Medida y Actualización para el 2023 dado a conocer por el Ins</w:t>
      </w:r>
      <w:r>
        <w:rPr>
          <w:rFonts w:eastAsia="Gulim" w:cstheme="minorHAnsi"/>
          <w:iCs/>
          <w:color w:val="000000"/>
        </w:rPr>
        <w:t>tituto Nacional De Estadística y</w:t>
      </w:r>
      <w:r w:rsidRPr="00295015">
        <w:rPr>
          <w:rFonts w:eastAsia="Gulim" w:cstheme="minorHAnsi"/>
          <w:iCs/>
          <w:color w:val="000000"/>
        </w:rPr>
        <w:t xml:space="preserve"> Geografía (INEGI).</w:t>
      </w:r>
    </w:p>
    <w:p w14:paraId="42E9AEAC" w14:textId="77777777" w:rsidR="00120D93" w:rsidRPr="00F8653C" w:rsidRDefault="00120D93" w:rsidP="00120D93">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spacing w:line="276" w:lineRule="auto"/>
        <w:jc w:val="both"/>
        <w:rPr>
          <w:rFonts w:eastAsia="Gulim" w:cstheme="minorHAnsi"/>
          <w:b/>
          <w:iCs/>
          <w:color w:val="000000"/>
        </w:rPr>
      </w:pPr>
    </w:p>
    <w:p w14:paraId="19DEC218" w14:textId="77777777" w:rsidR="00120D93" w:rsidRPr="00F8653C" w:rsidRDefault="00CA4D4E" w:rsidP="00120D93">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spacing w:line="276" w:lineRule="auto"/>
        <w:jc w:val="both"/>
        <w:rPr>
          <w:rFonts w:eastAsia="Gulim" w:cstheme="minorHAnsi"/>
          <w:iCs/>
          <w:color w:val="000000"/>
        </w:rPr>
      </w:pPr>
      <w:r w:rsidRPr="00F8653C">
        <w:rPr>
          <w:rFonts w:eastAsia="Gulim" w:cstheme="minorHAnsi"/>
          <w:b/>
          <w:iCs/>
          <w:color w:val="000000"/>
        </w:rPr>
        <w:t>SEGUNDO. -</w:t>
      </w:r>
      <w:r w:rsidR="00120D93" w:rsidRPr="00F8653C">
        <w:rPr>
          <w:rFonts w:eastAsia="Gulim" w:cstheme="minorHAnsi"/>
          <w:b/>
          <w:iCs/>
          <w:color w:val="000000"/>
        </w:rPr>
        <w:t xml:space="preserve"> </w:t>
      </w:r>
      <w:r w:rsidR="00120D93" w:rsidRPr="00F8653C">
        <w:rPr>
          <w:rFonts w:eastAsia="Gulim" w:cstheme="minorHAnsi"/>
          <w:iCs/>
          <w:color w:val="000000"/>
        </w:rPr>
        <w:t xml:space="preserve">Publíquese el presente Acuerdo en el Periódico Oficial “Tierra y Libertad” Órgano de difusión del Gobierno del Estado de Morelos, y en la Gaceta Municipal. </w:t>
      </w:r>
    </w:p>
    <w:p w14:paraId="11C8E2BF" w14:textId="77777777" w:rsidR="005A6611" w:rsidRPr="00F8653C" w:rsidRDefault="005A6611" w:rsidP="00120D93">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spacing w:line="276" w:lineRule="auto"/>
        <w:jc w:val="both"/>
        <w:rPr>
          <w:rFonts w:eastAsia="Gulim" w:cstheme="minorHAnsi"/>
          <w:iCs/>
          <w:color w:val="000000"/>
        </w:rPr>
      </w:pPr>
    </w:p>
    <w:p w14:paraId="62AF6C90" w14:textId="77777777" w:rsidR="00120D93" w:rsidRPr="00F8653C" w:rsidRDefault="00120D93" w:rsidP="00120D93">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rPr>
      </w:pPr>
      <w:r w:rsidRPr="00F8653C">
        <w:rPr>
          <w:rFonts w:eastAsia="Gulim" w:cstheme="minorHAnsi"/>
          <w:bCs/>
        </w:rPr>
        <w:t xml:space="preserve">Dado en el Museo de la ciudad de Cuernavaca, en la Ciudad de Cuernavaca, Morelos, a los </w:t>
      </w:r>
      <w:r w:rsidR="00CA4D4E" w:rsidRPr="00F8653C">
        <w:rPr>
          <w:rFonts w:eastAsia="Gulim" w:cstheme="minorHAnsi"/>
          <w:bCs/>
        </w:rPr>
        <w:t xml:space="preserve">veintidós </w:t>
      </w:r>
      <w:r w:rsidRPr="00F8653C">
        <w:rPr>
          <w:rFonts w:eastAsia="Gulim" w:cstheme="minorHAnsi"/>
          <w:bCs/>
        </w:rPr>
        <w:t xml:space="preserve">días del mes de </w:t>
      </w:r>
      <w:r w:rsidR="007C18A5" w:rsidRPr="00F8653C">
        <w:rPr>
          <w:rFonts w:eastAsia="Gulim" w:cstheme="minorHAnsi"/>
          <w:bCs/>
        </w:rPr>
        <w:t>marzo del año dos mil veintitrés</w:t>
      </w:r>
      <w:r w:rsidRPr="00F8653C">
        <w:rPr>
          <w:rFonts w:eastAsia="Gulim" w:cstheme="minorHAnsi"/>
          <w:bCs/>
        </w:rPr>
        <w:t>.</w:t>
      </w:r>
    </w:p>
    <w:p w14:paraId="7EE4AC79" w14:textId="77777777" w:rsidR="00F37545" w:rsidRPr="00A925DF" w:rsidRDefault="00F37545" w:rsidP="00120D93">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rPr>
      </w:pPr>
    </w:p>
    <w:p w14:paraId="25B987D5" w14:textId="77777777" w:rsidR="00E56A21" w:rsidRPr="00A925DF" w:rsidRDefault="00E56A21" w:rsidP="00E56A21">
      <w:pPr>
        <w:tabs>
          <w:tab w:val="left" w:pos="10065"/>
          <w:tab w:val="left" w:pos="10206"/>
        </w:tabs>
        <w:jc w:val="center"/>
        <w:rPr>
          <w:rFonts w:eastAsia="Gulim" w:cstheme="minorHAnsi"/>
          <w:b/>
        </w:rPr>
      </w:pPr>
    </w:p>
    <w:p w14:paraId="599CC32E" w14:textId="77777777" w:rsidR="007C18A5" w:rsidRPr="00F37545" w:rsidRDefault="007C18A5" w:rsidP="007C18A5">
      <w:pPr>
        <w:tabs>
          <w:tab w:val="left" w:pos="5162"/>
        </w:tabs>
        <w:jc w:val="center"/>
        <w:rPr>
          <w:rFonts w:eastAsia="Gulim" w:cstheme="minorHAnsi"/>
          <w:b/>
          <w:sz w:val="20"/>
        </w:rPr>
      </w:pPr>
      <w:r w:rsidRPr="00F37545">
        <w:rPr>
          <w:rFonts w:eastAsia="Gulim" w:cstheme="minorHAnsi"/>
          <w:b/>
          <w:sz w:val="20"/>
        </w:rPr>
        <w:t>ATENTAMENTE</w:t>
      </w:r>
    </w:p>
    <w:p w14:paraId="6DF89C84" w14:textId="77777777" w:rsidR="007C18A5" w:rsidRPr="00F37545" w:rsidRDefault="007C18A5" w:rsidP="007C18A5">
      <w:pPr>
        <w:tabs>
          <w:tab w:val="left" w:pos="5162"/>
        </w:tabs>
        <w:jc w:val="center"/>
        <w:rPr>
          <w:rFonts w:eastAsia="Gulim" w:cstheme="minorHAnsi"/>
          <w:b/>
          <w:sz w:val="20"/>
        </w:rPr>
      </w:pPr>
      <w:r w:rsidRPr="00F37545">
        <w:rPr>
          <w:rFonts w:eastAsia="Gulim" w:cstheme="minorHAnsi"/>
          <w:b/>
          <w:sz w:val="20"/>
        </w:rPr>
        <w:t>PRESIDENTE MUNICIPAL DE CUERNAVACA</w:t>
      </w:r>
    </w:p>
    <w:p w14:paraId="759967DD" w14:textId="77777777" w:rsidR="007C18A5" w:rsidRPr="00F37545" w:rsidRDefault="007C18A5" w:rsidP="007C18A5">
      <w:pPr>
        <w:tabs>
          <w:tab w:val="left" w:pos="5162"/>
        </w:tabs>
        <w:jc w:val="center"/>
        <w:rPr>
          <w:rFonts w:eastAsia="Gulim" w:cstheme="minorHAnsi"/>
          <w:b/>
          <w:sz w:val="20"/>
        </w:rPr>
      </w:pPr>
      <w:r w:rsidRPr="00F37545">
        <w:rPr>
          <w:rFonts w:eastAsia="Gulim" w:cstheme="minorHAnsi"/>
          <w:b/>
          <w:sz w:val="20"/>
        </w:rPr>
        <w:t>JOSÉ LUIS URIOSTEGUI SALGADO.</w:t>
      </w:r>
    </w:p>
    <w:p w14:paraId="1932897D" w14:textId="77777777" w:rsidR="007C18A5" w:rsidRPr="00F37545" w:rsidRDefault="007C18A5" w:rsidP="007C18A5">
      <w:pPr>
        <w:tabs>
          <w:tab w:val="left" w:pos="5162"/>
        </w:tabs>
        <w:jc w:val="center"/>
        <w:rPr>
          <w:rFonts w:eastAsia="Gulim" w:cstheme="minorHAnsi"/>
          <w:b/>
          <w:sz w:val="20"/>
        </w:rPr>
      </w:pPr>
      <w:r w:rsidRPr="00F37545">
        <w:rPr>
          <w:rFonts w:eastAsia="Gulim" w:cstheme="minorHAnsi"/>
          <w:b/>
          <w:sz w:val="20"/>
        </w:rPr>
        <w:t>SÍNDICA MUNICIPAL</w:t>
      </w:r>
    </w:p>
    <w:p w14:paraId="42D15228" w14:textId="77777777" w:rsidR="007C18A5" w:rsidRPr="00F37545" w:rsidRDefault="007C18A5" w:rsidP="007C18A5">
      <w:pPr>
        <w:tabs>
          <w:tab w:val="left" w:pos="5162"/>
        </w:tabs>
        <w:jc w:val="center"/>
        <w:rPr>
          <w:rFonts w:eastAsia="Gulim" w:cstheme="minorHAnsi"/>
          <w:b/>
          <w:sz w:val="20"/>
        </w:rPr>
      </w:pPr>
      <w:r w:rsidRPr="00F37545">
        <w:rPr>
          <w:rFonts w:eastAsia="Gulim" w:cstheme="minorHAnsi"/>
          <w:b/>
          <w:sz w:val="20"/>
        </w:rPr>
        <w:t>CATALINA VERÓNICA ATENCO PÉREZ.</w:t>
      </w:r>
    </w:p>
    <w:p w14:paraId="7349A8E3" w14:textId="77777777" w:rsidR="007C18A5" w:rsidRPr="00F37545" w:rsidRDefault="007C18A5" w:rsidP="007C18A5">
      <w:pPr>
        <w:tabs>
          <w:tab w:val="left" w:pos="5162"/>
        </w:tabs>
        <w:jc w:val="center"/>
        <w:rPr>
          <w:rFonts w:eastAsia="Gulim" w:cstheme="minorHAnsi"/>
          <w:b/>
          <w:sz w:val="20"/>
        </w:rPr>
      </w:pPr>
      <w:r w:rsidRPr="00F37545">
        <w:rPr>
          <w:rFonts w:eastAsia="Gulim" w:cstheme="minorHAnsi"/>
          <w:b/>
          <w:sz w:val="20"/>
        </w:rPr>
        <w:t>CC. REGIDORES:</w:t>
      </w:r>
    </w:p>
    <w:p w14:paraId="6BE0FCEE" w14:textId="77777777" w:rsidR="007C18A5" w:rsidRPr="00F37545" w:rsidRDefault="007C18A5" w:rsidP="007C18A5">
      <w:pPr>
        <w:tabs>
          <w:tab w:val="left" w:pos="5162"/>
        </w:tabs>
        <w:jc w:val="center"/>
        <w:rPr>
          <w:rFonts w:eastAsia="Gulim" w:cstheme="minorHAnsi"/>
          <w:b/>
          <w:sz w:val="20"/>
        </w:rPr>
      </w:pPr>
      <w:r w:rsidRPr="00F37545">
        <w:rPr>
          <w:rFonts w:eastAsia="Gulim" w:cstheme="minorHAnsi"/>
          <w:b/>
          <w:sz w:val="20"/>
        </w:rPr>
        <w:t>VÍCTOR ADRIÁN MARTÍNEZ TERRAZAS.</w:t>
      </w:r>
    </w:p>
    <w:p w14:paraId="31542907" w14:textId="77777777" w:rsidR="007C18A5" w:rsidRPr="00F37545" w:rsidRDefault="007C18A5" w:rsidP="007C18A5">
      <w:pPr>
        <w:tabs>
          <w:tab w:val="left" w:pos="5162"/>
        </w:tabs>
        <w:jc w:val="center"/>
        <w:rPr>
          <w:rFonts w:eastAsia="Gulim" w:cstheme="minorHAnsi"/>
          <w:b/>
          <w:sz w:val="20"/>
        </w:rPr>
      </w:pPr>
      <w:r w:rsidRPr="00F37545">
        <w:rPr>
          <w:rFonts w:eastAsia="Gulim" w:cstheme="minorHAnsi"/>
          <w:b/>
          <w:sz w:val="20"/>
        </w:rPr>
        <w:t>PAZ HERNÁNDEZ PARDO.</w:t>
      </w:r>
    </w:p>
    <w:p w14:paraId="04B6C10C" w14:textId="77777777" w:rsidR="007C18A5" w:rsidRPr="00F37545" w:rsidRDefault="007C18A5" w:rsidP="007C18A5">
      <w:pPr>
        <w:tabs>
          <w:tab w:val="left" w:pos="5162"/>
        </w:tabs>
        <w:jc w:val="center"/>
        <w:rPr>
          <w:rFonts w:eastAsia="Gulim" w:cstheme="minorHAnsi"/>
          <w:b/>
          <w:sz w:val="20"/>
        </w:rPr>
      </w:pPr>
      <w:r w:rsidRPr="00F37545">
        <w:rPr>
          <w:rFonts w:eastAsia="Gulim" w:cstheme="minorHAnsi"/>
          <w:b/>
          <w:sz w:val="20"/>
        </w:rPr>
        <w:t>JESÚS RAÚL FERNANDO CARILLO ALVARADO.</w:t>
      </w:r>
    </w:p>
    <w:p w14:paraId="7218921E" w14:textId="77777777" w:rsidR="007C18A5" w:rsidRPr="00F37545" w:rsidRDefault="007C18A5" w:rsidP="007C18A5">
      <w:pPr>
        <w:tabs>
          <w:tab w:val="left" w:pos="5162"/>
        </w:tabs>
        <w:jc w:val="center"/>
        <w:rPr>
          <w:rFonts w:eastAsia="Gulim" w:cstheme="minorHAnsi"/>
          <w:b/>
          <w:sz w:val="20"/>
        </w:rPr>
      </w:pPr>
      <w:r w:rsidRPr="00F37545">
        <w:rPr>
          <w:rFonts w:eastAsia="Gulim" w:cstheme="minorHAnsi"/>
          <w:b/>
          <w:sz w:val="20"/>
        </w:rPr>
        <w:t>DEBENDRENATH SALAZAR SOLORIO.</w:t>
      </w:r>
    </w:p>
    <w:p w14:paraId="33AA81E9" w14:textId="77777777" w:rsidR="007C18A5" w:rsidRPr="00F37545" w:rsidRDefault="007C18A5" w:rsidP="007C18A5">
      <w:pPr>
        <w:tabs>
          <w:tab w:val="left" w:pos="5162"/>
        </w:tabs>
        <w:jc w:val="center"/>
        <w:rPr>
          <w:rFonts w:eastAsia="Gulim" w:cstheme="minorHAnsi"/>
          <w:b/>
          <w:sz w:val="20"/>
        </w:rPr>
      </w:pPr>
      <w:r w:rsidRPr="00F37545">
        <w:rPr>
          <w:rFonts w:eastAsia="Gulim" w:cstheme="minorHAnsi"/>
          <w:b/>
          <w:sz w:val="20"/>
        </w:rPr>
        <w:t>PATRICIA LUCIA TORRES ROSALES</w:t>
      </w:r>
    </w:p>
    <w:p w14:paraId="2F46889C" w14:textId="77777777" w:rsidR="007C18A5" w:rsidRPr="00F37545" w:rsidRDefault="007C18A5" w:rsidP="007C18A5">
      <w:pPr>
        <w:tabs>
          <w:tab w:val="left" w:pos="5162"/>
        </w:tabs>
        <w:jc w:val="center"/>
        <w:rPr>
          <w:rFonts w:eastAsia="Gulim" w:cstheme="minorHAnsi"/>
          <w:b/>
          <w:sz w:val="20"/>
        </w:rPr>
      </w:pPr>
      <w:r w:rsidRPr="00F37545">
        <w:rPr>
          <w:rFonts w:eastAsia="Gulim" w:cstheme="minorHAnsi"/>
          <w:b/>
          <w:sz w:val="20"/>
        </w:rPr>
        <w:t>JESÚS TLACAELEL ROSALES PUEBLA.</w:t>
      </w:r>
    </w:p>
    <w:p w14:paraId="3FF38EA8" w14:textId="77777777" w:rsidR="007C18A5" w:rsidRPr="00F37545" w:rsidRDefault="007C18A5" w:rsidP="007C18A5">
      <w:pPr>
        <w:tabs>
          <w:tab w:val="left" w:pos="5162"/>
        </w:tabs>
        <w:jc w:val="center"/>
        <w:rPr>
          <w:rFonts w:eastAsia="Gulim" w:cstheme="minorHAnsi"/>
          <w:b/>
          <w:sz w:val="20"/>
        </w:rPr>
      </w:pPr>
      <w:r w:rsidRPr="00F37545">
        <w:rPr>
          <w:rFonts w:eastAsia="Gulim" w:cstheme="minorHAnsi"/>
          <w:b/>
          <w:sz w:val="20"/>
        </w:rPr>
        <w:t>VÍCTOR HUGO MANZO GODÍNEZ.</w:t>
      </w:r>
    </w:p>
    <w:p w14:paraId="7DB48F88" w14:textId="77777777" w:rsidR="007C18A5" w:rsidRPr="00F37545" w:rsidRDefault="007C18A5" w:rsidP="007C18A5">
      <w:pPr>
        <w:tabs>
          <w:tab w:val="left" w:pos="5162"/>
        </w:tabs>
        <w:jc w:val="center"/>
        <w:rPr>
          <w:rFonts w:eastAsia="Gulim" w:cstheme="minorHAnsi"/>
          <w:b/>
          <w:sz w:val="20"/>
        </w:rPr>
      </w:pPr>
      <w:r w:rsidRPr="00F37545">
        <w:rPr>
          <w:rFonts w:eastAsia="Gulim" w:cstheme="minorHAnsi"/>
          <w:b/>
          <w:sz w:val="20"/>
        </w:rPr>
        <w:t>CHRISTIAN MISHELL PÉREZ JAIMES.</w:t>
      </w:r>
    </w:p>
    <w:p w14:paraId="12F33FB5" w14:textId="77777777" w:rsidR="007C18A5" w:rsidRPr="00F37545" w:rsidRDefault="007C18A5" w:rsidP="007C18A5">
      <w:pPr>
        <w:tabs>
          <w:tab w:val="left" w:pos="5162"/>
        </w:tabs>
        <w:jc w:val="center"/>
        <w:rPr>
          <w:rFonts w:eastAsia="Gulim" w:cstheme="minorHAnsi"/>
          <w:b/>
          <w:sz w:val="20"/>
        </w:rPr>
      </w:pPr>
      <w:r w:rsidRPr="00F37545">
        <w:rPr>
          <w:rFonts w:eastAsia="Gulim" w:cstheme="minorHAnsi"/>
          <w:b/>
          <w:sz w:val="20"/>
        </w:rPr>
        <w:t>MARÍA WENDI SALINAS RUÍZ.</w:t>
      </w:r>
    </w:p>
    <w:p w14:paraId="18DFBA6E" w14:textId="77777777" w:rsidR="007C18A5" w:rsidRPr="00F37545" w:rsidRDefault="007C18A5" w:rsidP="007C18A5">
      <w:pPr>
        <w:tabs>
          <w:tab w:val="left" w:pos="5162"/>
        </w:tabs>
        <w:jc w:val="center"/>
        <w:rPr>
          <w:rFonts w:eastAsia="Gulim" w:cstheme="minorHAnsi"/>
          <w:b/>
          <w:sz w:val="20"/>
        </w:rPr>
      </w:pPr>
      <w:r w:rsidRPr="00F37545">
        <w:rPr>
          <w:rFonts w:eastAsia="Gulim" w:cstheme="minorHAnsi"/>
          <w:b/>
          <w:sz w:val="20"/>
        </w:rPr>
        <w:t>MIRNA MIREYA DELGADO ROMERO.</w:t>
      </w:r>
    </w:p>
    <w:p w14:paraId="59FFBFDD" w14:textId="77777777" w:rsidR="007C18A5" w:rsidRPr="00F37545" w:rsidRDefault="007C18A5" w:rsidP="007C18A5">
      <w:pPr>
        <w:tabs>
          <w:tab w:val="left" w:pos="5162"/>
        </w:tabs>
        <w:jc w:val="center"/>
        <w:rPr>
          <w:rFonts w:eastAsia="Gulim" w:cstheme="minorHAnsi"/>
          <w:b/>
          <w:sz w:val="20"/>
        </w:rPr>
      </w:pPr>
      <w:r w:rsidRPr="00F37545">
        <w:rPr>
          <w:rFonts w:eastAsia="Gulim" w:cstheme="minorHAnsi"/>
          <w:b/>
          <w:sz w:val="20"/>
        </w:rPr>
        <w:lastRenderedPageBreak/>
        <w:t>YAZMÍN LUCERO CUENCA NORIA.</w:t>
      </w:r>
    </w:p>
    <w:p w14:paraId="43705A13" w14:textId="77777777" w:rsidR="007C18A5" w:rsidRPr="00F37545" w:rsidRDefault="007C18A5" w:rsidP="007C18A5">
      <w:pPr>
        <w:tabs>
          <w:tab w:val="left" w:pos="5162"/>
        </w:tabs>
        <w:jc w:val="center"/>
        <w:rPr>
          <w:rFonts w:eastAsia="Gulim" w:cstheme="minorHAnsi"/>
          <w:b/>
          <w:sz w:val="20"/>
        </w:rPr>
      </w:pPr>
      <w:r w:rsidRPr="00F37545">
        <w:rPr>
          <w:rFonts w:eastAsia="Gulim" w:cstheme="minorHAnsi"/>
          <w:b/>
          <w:sz w:val="20"/>
        </w:rPr>
        <w:t>SECRETARIO DEL AYUNTAMIENTO</w:t>
      </w:r>
    </w:p>
    <w:p w14:paraId="483C6E1B" w14:textId="77777777" w:rsidR="00296E3A" w:rsidRPr="00F37545" w:rsidRDefault="007C18A5" w:rsidP="007C18A5">
      <w:pPr>
        <w:tabs>
          <w:tab w:val="left" w:pos="5162"/>
        </w:tabs>
        <w:jc w:val="center"/>
        <w:rPr>
          <w:rFonts w:eastAsia="Gulim" w:cstheme="minorHAnsi"/>
          <w:b/>
          <w:sz w:val="20"/>
        </w:rPr>
      </w:pPr>
      <w:r w:rsidRPr="00F37545">
        <w:rPr>
          <w:rFonts w:eastAsia="Gulim" w:cstheme="minorHAnsi"/>
          <w:b/>
          <w:sz w:val="20"/>
        </w:rPr>
        <w:t>CARLOS DE LA ROSA SEGURA.</w:t>
      </w:r>
    </w:p>
    <w:p w14:paraId="5158EE87" w14:textId="77777777" w:rsidR="002344A5" w:rsidRPr="00A925DF" w:rsidRDefault="002344A5" w:rsidP="007C18A5">
      <w:pPr>
        <w:tabs>
          <w:tab w:val="left" w:pos="5162"/>
        </w:tabs>
        <w:jc w:val="center"/>
        <w:rPr>
          <w:rFonts w:eastAsia="Gulim" w:cstheme="minorHAnsi"/>
          <w:b/>
        </w:rPr>
      </w:pPr>
    </w:p>
    <w:p w14:paraId="5BC3A063" w14:textId="77777777" w:rsidR="00120D93" w:rsidRPr="00F8653C" w:rsidRDefault="00120D93" w:rsidP="00120D93">
      <w:pPr>
        <w:tabs>
          <w:tab w:val="left" w:pos="10065"/>
          <w:tab w:val="left" w:pos="10206"/>
        </w:tabs>
        <w:jc w:val="both"/>
        <w:rPr>
          <w:rFonts w:eastAsia="Gulim" w:cstheme="minorHAnsi"/>
        </w:rPr>
      </w:pPr>
      <w:r w:rsidRPr="00F8653C">
        <w:rPr>
          <w:rFonts w:eastAsia="Gulim" w:cstheme="minorHAnsi"/>
        </w:rPr>
        <w:t xml:space="preserve">En consecuencia, remítase al ciudadano José Luis Urióstegui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14:paraId="7AECCCA7" w14:textId="77777777" w:rsidR="00F37545" w:rsidRDefault="00F37545" w:rsidP="002344A5">
      <w:pPr>
        <w:tabs>
          <w:tab w:val="left" w:pos="10065"/>
          <w:tab w:val="left" w:pos="10206"/>
        </w:tabs>
        <w:jc w:val="center"/>
        <w:rPr>
          <w:rFonts w:eastAsia="Gulim" w:cstheme="minorHAnsi"/>
          <w:b/>
        </w:rPr>
      </w:pPr>
    </w:p>
    <w:p w14:paraId="697428F0" w14:textId="77777777" w:rsidR="00F8653C" w:rsidRDefault="00F8653C" w:rsidP="002344A5">
      <w:pPr>
        <w:tabs>
          <w:tab w:val="left" w:pos="10065"/>
          <w:tab w:val="left" w:pos="10206"/>
        </w:tabs>
        <w:jc w:val="center"/>
        <w:rPr>
          <w:rFonts w:eastAsia="Gulim" w:cstheme="minorHAnsi"/>
          <w:b/>
        </w:rPr>
      </w:pPr>
    </w:p>
    <w:p w14:paraId="28536C36" w14:textId="77777777" w:rsidR="002344A5" w:rsidRPr="00A925DF" w:rsidRDefault="002344A5" w:rsidP="002344A5">
      <w:pPr>
        <w:tabs>
          <w:tab w:val="left" w:pos="10065"/>
          <w:tab w:val="left" w:pos="10206"/>
        </w:tabs>
        <w:jc w:val="center"/>
        <w:rPr>
          <w:rFonts w:eastAsia="Gulim" w:cstheme="minorHAnsi"/>
          <w:b/>
        </w:rPr>
      </w:pPr>
      <w:r w:rsidRPr="00A925DF">
        <w:rPr>
          <w:rFonts w:eastAsia="Gulim" w:cstheme="minorHAnsi"/>
          <w:b/>
        </w:rPr>
        <w:t>ATENTAMENTE</w:t>
      </w:r>
    </w:p>
    <w:p w14:paraId="236B121C" w14:textId="77777777" w:rsidR="002344A5" w:rsidRPr="00A925DF" w:rsidRDefault="002344A5" w:rsidP="002344A5">
      <w:pPr>
        <w:tabs>
          <w:tab w:val="left" w:pos="10065"/>
          <w:tab w:val="left" w:pos="10206"/>
        </w:tabs>
        <w:jc w:val="center"/>
        <w:rPr>
          <w:rFonts w:eastAsia="Gulim" w:cstheme="minorHAnsi"/>
          <w:b/>
        </w:rPr>
      </w:pPr>
      <w:r w:rsidRPr="00A925DF">
        <w:rPr>
          <w:rFonts w:eastAsia="Gulim" w:cstheme="minorHAnsi"/>
          <w:b/>
        </w:rPr>
        <w:t>PRESIDENTE MUNICIPAL DE CUERNAVACA</w:t>
      </w:r>
    </w:p>
    <w:p w14:paraId="5DA28261" w14:textId="77777777" w:rsidR="002344A5" w:rsidRPr="00A925DF" w:rsidRDefault="002344A5" w:rsidP="002344A5">
      <w:pPr>
        <w:tabs>
          <w:tab w:val="left" w:pos="10065"/>
          <w:tab w:val="left" w:pos="10206"/>
        </w:tabs>
        <w:rPr>
          <w:rFonts w:eastAsia="Gulim" w:cstheme="minorHAnsi"/>
          <w:b/>
        </w:rPr>
      </w:pPr>
    </w:p>
    <w:p w14:paraId="3E70A4A5" w14:textId="77777777" w:rsidR="002344A5" w:rsidRDefault="002344A5" w:rsidP="002344A5">
      <w:pPr>
        <w:tabs>
          <w:tab w:val="left" w:pos="10065"/>
          <w:tab w:val="left" w:pos="10206"/>
        </w:tabs>
        <w:rPr>
          <w:rFonts w:eastAsia="Gulim" w:cstheme="minorHAnsi"/>
          <w:b/>
        </w:rPr>
      </w:pPr>
    </w:p>
    <w:p w14:paraId="02692CE1" w14:textId="77777777" w:rsidR="00F37545" w:rsidRPr="00A925DF" w:rsidRDefault="00F37545" w:rsidP="002344A5">
      <w:pPr>
        <w:tabs>
          <w:tab w:val="left" w:pos="10065"/>
          <w:tab w:val="left" w:pos="10206"/>
        </w:tabs>
        <w:rPr>
          <w:rFonts w:eastAsia="Gulim" w:cstheme="minorHAnsi"/>
          <w:b/>
        </w:rPr>
      </w:pPr>
    </w:p>
    <w:p w14:paraId="17EB6C89" w14:textId="77777777" w:rsidR="00F37545" w:rsidRPr="00A925DF" w:rsidRDefault="00F37545" w:rsidP="002344A5">
      <w:pPr>
        <w:tabs>
          <w:tab w:val="left" w:pos="10065"/>
          <w:tab w:val="left" w:pos="10206"/>
        </w:tabs>
        <w:rPr>
          <w:rFonts w:eastAsia="Gulim" w:cstheme="minorHAnsi"/>
          <w:b/>
        </w:rPr>
      </w:pPr>
    </w:p>
    <w:p w14:paraId="3DAF9179" w14:textId="77777777" w:rsidR="002344A5" w:rsidRPr="00A925DF" w:rsidRDefault="002344A5" w:rsidP="002344A5">
      <w:pPr>
        <w:tabs>
          <w:tab w:val="left" w:pos="10065"/>
          <w:tab w:val="left" w:pos="10206"/>
        </w:tabs>
        <w:jc w:val="center"/>
        <w:rPr>
          <w:rFonts w:eastAsia="Gulim" w:cstheme="minorHAnsi"/>
          <w:b/>
        </w:rPr>
      </w:pPr>
      <w:r w:rsidRPr="00A925DF">
        <w:rPr>
          <w:rFonts w:eastAsia="Gulim" w:cstheme="minorHAnsi"/>
          <w:b/>
        </w:rPr>
        <w:t>JOSÉ LUIS URIÓSTEGUI SALGADO</w:t>
      </w:r>
    </w:p>
    <w:p w14:paraId="136CA74D" w14:textId="77777777" w:rsidR="002344A5" w:rsidRDefault="002344A5" w:rsidP="002344A5">
      <w:pPr>
        <w:tabs>
          <w:tab w:val="left" w:pos="10065"/>
          <w:tab w:val="left" w:pos="10206"/>
        </w:tabs>
        <w:rPr>
          <w:rFonts w:eastAsia="Gulim" w:cstheme="minorHAnsi"/>
          <w:b/>
        </w:rPr>
      </w:pPr>
    </w:p>
    <w:p w14:paraId="4A5AEE5E" w14:textId="77777777" w:rsidR="00EC47DE" w:rsidRPr="00A925DF" w:rsidRDefault="00EC47DE" w:rsidP="002344A5">
      <w:pPr>
        <w:tabs>
          <w:tab w:val="left" w:pos="10065"/>
          <w:tab w:val="left" w:pos="10206"/>
        </w:tabs>
        <w:rPr>
          <w:rFonts w:eastAsia="Gulim" w:cstheme="minorHAnsi"/>
          <w:b/>
        </w:rPr>
      </w:pPr>
    </w:p>
    <w:p w14:paraId="1D776B3C" w14:textId="77777777" w:rsidR="002344A5" w:rsidRPr="00A925DF" w:rsidRDefault="002344A5" w:rsidP="002344A5">
      <w:pPr>
        <w:tabs>
          <w:tab w:val="left" w:pos="10065"/>
          <w:tab w:val="left" w:pos="10206"/>
        </w:tabs>
        <w:jc w:val="center"/>
        <w:rPr>
          <w:rFonts w:eastAsia="Gulim" w:cstheme="minorHAnsi"/>
          <w:b/>
        </w:rPr>
      </w:pPr>
      <w:r w:rsidRPr="00A925DF">
        <w:rPr>
          <w:rFonts w:eastAsia="Gulim" w:cstheme="minorHAnsi"/>
          <w:b/>
        </w:rPr>
        <w:t>SECRETARIO DEL AYUNTAMIENTO</w:t>
      </w:r>
    </w:p>
    <w:p w14:paraId="0959A388" w14:textId="77777777" w:rsidR="002344A5" w:rsidRPr="00A925DF" w:rsidRDefault="002344A5" w:rsidP="002344A5">
      <w:pPr>
        <w:tabs>
          <w:tab w:val="left" w:pos="10065"/>
          <w:tab w:val="left" w:pos="10206"/>
        </w:tabs>
        <w:rPr>
          <w:rFonts w:eastAsia="Gulim" w:cstheme="minorHAnsi"/>
          <w:b/>
        </w:rPr>
      </w:pPr>
    </w:p>
    <w:p w14:paraId="4EE35DDD" w14:textId="77777777" w:rsidR="002344A5" w:rsidRDefault="002344A5" w:rsidP="002344A5">
      <w:pPr>
        <w:tabs>
          <w:tab w:val="left" w:pos="10065"/>
          <w:tab w:val="left" w:pos="10206"/>
        </w:tabs>
        <w:rPr>
          <w:rFonts w:eastAsia="Gulim" w:cstheme="minorHAnsi"/>
          <w:b/>
        </w:rPr>
      </w:pPr>
    </w:p>
    <w:p w14:paraId="0394CFBD" w14:textId="77777777" w:rsidR="00EC47DE" w:rsidRPr="00A925DF" w:rsidRDefault="00EC47DE" w:rsidP="002344A5">
      <w:pPr>
        <w:tabs>
          <w:tab w:val="left" w:pos="10065"/>
          <w:tab w:val="left" w:pos="10206"/>
        </w:tabs>
        <w:rPr>
          <w:rFonts w:eastAsia="Gulim" w:cstheme="minorHAnsi"/>
          <w:b/>
        </w:rPr>
      </w:pPr>
    </w:p>
    <w:p w14:paraId="7EF24113" w14:textId="77777777" w:rsidR="00CA4D4E" w:rsidRPr="00A925DF" w:rsidRDefault="00CA4D4E" w:rsidP="002344A5">
      <w:pPr>
        <w:tabs>
          <w:tab w:val="left" w:pos="10065"/>
          <w:tab w:val="left" w:pos="10206"/>
        </w:tabs>
        <w:rPr>
          <w:rFonts w:eastAsia="Gulim" w:cstheme="minorHAnsi"/>
          <w:b/>
        </w:rPr>
      </w:pPr>
    </w:p>
    <w:p w14:paraId="2EB777AE" w14:textId="77777777" w:rsidR="002344A5" w:rsidRDefault="002344A5" w:rsidP="002344A5">
      <w:pPr>
        <w:tabs>
          <w:tab w:val="left" w:pos="10065"/>
          <w:tab w:val="left" w:pos="10206"/>
        </w:tabs>
        <w:jc w:val="center"/>
        <w:rPr>
          <w:rFonts w:eastAsia="Gulim" w:cstheme="minorHAnsi"/>
          <w:b/>
        </w:rPr>
      </w:pPr>
      <w:r w:rsidRPr="00A925DF">
        <w:rPr>
          <w:rFonts w:eastAsia="Gulim" w:cstheme="minorHAnsi"/>
          <w:b/>
        </w:rPr>
        <w:t>CARLOS DE LA ROSA SEGURA</w:t>
      </w:r>
    </w:p>
    <w:p w14:paraId="4F7718C4" w14:textId="77777777" w:rsidR="006A0F07" w:rsidRDefault="006A0F07" w:rsidP="002344A5">
      <w:pPr>
        <w:tabs>
          <w:tab w:val="left" w:pos="10065"/>
          <w:tab w:val="left" w:pos="10206"/>
        </w:tabs>
        <w:jc w:val="center"/>
        <w:rPr>
          <w:rFonts w:eastAsia="Gulim" w:cstheme="minorHAnsi"/>
          <w:b/>
        </w:rPr>
      </w:pPr>
    </w:p>
    <w:p w14:paraId="26FDE6C7" w14:textId="60269DB5" w:rsidR="006A0F07" w:rsidRDefault="006A0F07" w:rsidP="002344A5">
      <w:pPr>
        <w:tabs>
          <w:tab w:val="left" w:pos="10065"/>
          <w:tab w:val="left" w:pos="10206"/>
        </w:tabs>
        <w:jc w:val="center"/>
        <w:rPr>
          <w:rFonts w:eastAsia="Gulim" w:cstheme="minorHAnsi"/>
          <w:b/>
        </w:rPr>
      </w:pPr>
    </w:p>
    <w:p w14:paraId="447D01FE" w14:textId="2B1CE48C" w:rsidR="0061160B" w:rsidRDefault="0061160B" w:rsidP="002344A5">
      <w:pPr>
        <w:tabs>
          <w:tab w:val="left" w:pos="10065"/>
          <w:tab w:val="left" w:pos="10206"/>
        </w:tabs>
        <w:jc w:val="center"/>
        <w:rPr>
          <w:rFonts w:eastAsia="Gulim" w:cstheme="minorHAnsi"/>
          <w:b/>
        </w:rPr>
      </w:pPr>
    </w:p>
    <w:p w14:paraId="0E78A7BB" w14:textId="5BCCB777" w:rsidR="0061160B" w:rsidRDefault="0061160B" w:rsidP="002344A5">
      <w:pPr>
        <w:tabs>
          <w:tab w:val="left" w:pos="10065"/>
          <w:tab w:val="left" w:pos="10206"/>
        </w:tabs>
        <w:jc w:val="center"/>
        <w:rPr>
          <w:rFonts w:eastAsia="Gulim" w:cstheme="minorHAnsi"/>
          <w:b/>
        </w:rPr>
      </w:pPr>
    </w:p>
    <w:p w14:paraId="57A744F8" w14:textId="77777777" w:rsidR="0061160B" w:rsidRPr="00A925DF" w:rsidRDefault="0061160B" w:rsidP="002344A5">
      <w:pPr>
        <w:tabs>
          <w:tab w:val="left" w:pos="10065"/>
          <w:tab w:val="left" w:pos="10206"/>
        </w:tabs>
        <w:jc w:val="center"/>
        <w:rPr>
          <w:rFonts w:eastAsia="Gulim" w:cstheme="minorHAnsi"/>
          <w:b/>
        </w:rPr>
      </w:pPr>
      <w:bookmarkStart w:id="0" w:name="_GoBack"/>
      <w:bookmarkEnd w:id="0"/>
    </w:p>
    <w:p w14:paraId="758B3662" w14:textId="77777777" w:rsidR="002344A5" w:rsidRPr="001332DD" w:rsidRDefault="002344A5" w:rsidP="00F37545">
      <w:pPr>
        <w:jc w:val="both"/>
        <w:rPr>
          <w:rFonts w:cstheme="minorHAnsi"/>
          <w:bCs/>
          <w:sz w:val="16"/>
          <w:szCs w:val="16"/>
        </w:rPr>
      </w:pPr>
      <w:r w:rsidRPr="00A925DF">
        <w:rPr>
          <w:rFonts w:cstheme="minorHAnsi"/>
          <w:bCs/>
          <w:sz w:val="16"/>
          <w:szCs w:val="16"/>
        </w:rPr>
        <w:t>LA PRESENTE HOJA DE FIRMAS, CORRESPONDE AL ACUERDO NÚMERO</w:t>
      </w:r>
      <w:r w:rsidRPr="00A925DF">
        <w:rPr>
          <w:rFonts w:cstheme="minorHAnsi"/>
        </w:rPr>
        <w:t xml:space="preserve"> </w:t>
      </w:r>
      <w:r w:rsidRPr="00A925DF">
        <w:rPr>
          <w:rFonts w:cstheme="minorHAnsi"/>
          <w:bCs/>
          <w:sz w:val="16"/>
          <w:szCs w:val="16"/>
        </w:rPr>
        <w:t>S</w:t>
      </w:r>
      <w:r w:rsidR="00CA4D4E">
        <w:rPr>
          <w:rFonts w:cstheme="minorHAnsi"/>
          <w:bCs/>
          <w:sz w:val="16"/>
          <w:szCs w:val="16"/>
        </w:rPr>
        <w:t>O</w:t>
      </w:r>
      <w:r w:rsidRPr="00A925DF">
        <w:rPr>
          <w:rFonts w:cstheme="minorHAnsi"/>
          <w:bCs/>
          <w:sz w:val="16"/>
          <w:szCs w:val="16"/>
        </w:rPr>
        <w:t>/AC-</w:t>
      </w:r>
      <w:r w:rsidR="001332DD">
        <w:rPr>
          <w:rFonts w:cstheme="minorHAnsi"/>
          <w:bCs/>
          <w:sz w:val="16"/>
          <w:szCs w:val="16"/>
        </w:rPr>
        <w:t>30</w:t>
      </w:r>
      <w:r w:rsidR="00295015">
        <w:rPr>
          <w:rFonts w:cstheme="minorHAnsi"/>
          <w:bCs/>
          <w:sz w:val="16"/>
          <w:szCs w:val="16"/>
        </w:rPr>
        <w:t>4</w:t>
      </w:r>
      <w:r w:rsidR="00CA4D4E">
        <w:rPr>
          <w:rFonts w:cstheme="minorHAnsi"/>
          <w:bCs/>
          <w:sz w:val="16"/>
          <w:szCs w:val="16"/>
        </w:rPr>
        <w:t>/22</w:t>
      </w:r>
      <w:r w:rsidRPr="00A925DF">
        <w:rPr>
          <w:rFonts w:cstheme="minorHAnsi"/>
          <w:bCs/>
          <w:sz w:val="16"/>
          <w:szCs w:val="16"/>
        </w:rPr>
        <w:t xml:space="preserve">-III-2023, </w:t>
      </w:r>
      <w:r w:rsidR="001332DD" w:rsidRPr="001332DD">
        <w:rPr>
          <w:rFonts w:cstheme="minorHAnsi"/>
          <w:bCs/>
          <w:sz w:val="16"/>
          <w:szCs w:val="16"/>
        </w:rPr>
        <w:t xml:space="preserve">POR EL QUE SE </w:t>
      </w:r>
      <w:r w:rsidR="00295015" w:rsidRPr="00295015">
        <w:rPr>
          <w:rFonts w:cstheme="minorHAnsi"/>
          <w:bCs/>
          <w:sz w:val="16"/>
          <w:szCs w:val="16"/>
        </w:rPr>
        <w:t>QUE AUTORIZA LA MODIFICACIÓN AL ARTÍCULO 72 DEL PRESUPUESTO DE EGRESOS PARA EL EJERCICIO FISCAL 2023, DONDE SE DETERMINAN LOS MONTOS MÁXIMOS DE ADQUISICIONES PÚBLICAS DE BIENES Y SERVICIOS CON RE</w:t>
      </w:r>
      <w:r w:rsidR="00295015">
        <w:rPr>
          <w:rFonts w:cstheme="minorHAnsi"/>
          <w:bCs/>
          <w:sz w:val="16"/>
          <w:szCs w:val="16"/>
        </w:rPr>
        <w:t>CURSOS PROPIOS DEL AYUNTAMIENTO</w:t>
      </w:r>
      <w:r w:rsidRPr="00A925DF">
        <w:rPr>
          <w:rFonts w:cstheme="minorHAnsi"/>
          <w:bCs/>
          <w:sz w:val="16"/>
          <w:szCs w:val="16"/>
        </w:rPr>
        <w:t xml:space="preserve">, APROBADO EN LA SESIÓN ORDINARIA DE CABILDO DE FECHA </w:t>
      </w:r>
      <w:r w:rsidR="00CA4D4E">
        <w:rPr>
          <w:rFonts w:cstheme="minorHAnsi"/>
          <w:bCs/>
          <w:sz w:val="16"/>
          <w:szCs w:val="16"/>
        </w:rPr>
        <w:t>VEINTIDÓS</w:t>
      </w:r>
      <w:r w:rsidRPr="00A925DF">
        <w:rPr>
          <w:rFonts w:cstheme="minorHAnsi"/>
          <w:bCs/>
          <w:sz w:val="16"/>
          <w:szCs w:val="16"/>
        </w:rPr>
        <w:t xml:space="preserve"> DE MARZO DE DOS MIL VEINTITRÉS. </w:t>
      </w:r>
    </w:p>
    <w:sectPr w:rsidR="002344A5" w:rsidRPr="001332DD" w:rsidSect="009163FB">
      <w:headerReference w:type="default" r:id="rId8"/>
      <w:footerReference w:type="default" r:id="rId9"/>
      <w:pgSz w:w="12240" w:h="15840"/>
      <w:pgMar w:top="2552" w:right="1325" w:bottom="1417" w:left="25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D8168" w14:textId="77777777" w:rsidR="00FF277B" w:rsidRDefault="00FF277B">
      <w:r>
        <w:separator/>
      </w:r>
    </w:p>
  </w:endnote>
  <w:endnote w:type="continuationSeparator" w:id="0">
    <w:p w14:paraId="62BAB7A9" w14:textId="77777777" w:rsidR="00FF277B" w:rsidRDefault="00FF2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ulim">
    <w:altName w:val="굴림"/>
    <w:panose1 w:val="020B0600000101010101"/>
    <w:charset w:val="81"/>
    <w:family w:val="swiss"/>
    <w:pitch w:val="variable"/>
    <w:sig w:usb0="B00002AF" w:usb1="69D77CFB" w:usb2="00000030" w:usb3="00000000" w:csb0="002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212FC" w14:textId="6B25FEC3" w:rsidR="00855CD1" w:rsidRPr="0021265F" w:rsidRDefault="00855CD1">
    <w:pPr>
      <w:pStyle w:val="Piedepgina"/>
      <w:jc w:val="right"/>
      <w:rPr>
        <w:color w:val="FFFFFF" w:themeColor="background1"/>
      </w:rPr>
    </w:pPr>
    <w:r>
      <w:rPr>
        <w:noProof/>
        <w:lang w:eastAsia="es-MX"/>
      </w:rPr>
      <mc:AlternateContent>
        <mc:Choice Requires="wps">
          <w:drawing>
            <wp:anchor distT="0" distB="0" distL="114300" distR="114300" simplePos="0" relativeHeight="251665408" behindDoc="0" locked="0" layoutInCell="1" allowOverlap="1" wp14:anchorId="3820C577" wp14:editId="5C44456D">
              <wp:simplePos x="0" y="0"/>
              <wp:positionH relativeFrom="margin">
                <wp:posOffset>-900347</wp:posOffset>
              </wp:positionH>
              <wp:positionV relativeFrom="paragraph">
                <wp:posOffset>226391</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14:paraId="360E94F4" w14:textId="77777777" w:rsidR="00855CD1" w:rsidRPr="00446BF8" w:rsidRDefault="00855CD1" w:rsidP="00855CD1">
                          <w:pPr>
                            <w:rPr>
                              <w:color w:val="FFFFFF" w:themeColor="background1"/>
                              <w:sz w:val="22"/>
                              <w:szCs w:val="22"/>
                              <w:lang w:val="es-ES"/>
                            </w:rPr>
                          </w:pPr>
                          <w:r w:rsidRPr="00D87835">
                            <w:rPr>
                              <w:color w:val="FFFFFF" w:themeColor="background1"/>
                              <w:sz w:val="22"/>
                              <w:szCs w:val="22"/>
                              <w:lang w:val="es-ES"/>
                            </w:rPr>
                            <w:t>Call</w:t>
                          </w:r>
                          <w:r>
                            <w:rPr>
                              <w:color w:val="FFFFFF" w:themeColor="background1"/>
                              <w:sz w:val="22"/>
                              <w:szCs w:val="22"/>
                              <w:lang w:val="es-ES"/>
                            </w:rPr>
                            <w:t>e Motolinía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1795632" id="_x0000_t202" coordsize="21600,21600" o:spt="202" path="m,l,21600r21600,l21600,xe">
              <v:stroke joinstyle="miter"/>
              <v:path gradientshapeok="t" o:connecttype="rect"/>
            </v:shapetype>
            <v:shape id="Cuadro de texto 8" o:spid="_x0000_s1027" type="#_x0000_t202" style="position:absolute;left:0;text-align:left;margin-left:-70.9pt;margin-top:17.85pt;width:536pt;height:2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" filled="f" stroked="f" strokeweight=".5pt">
              <v:textbox>
                <w:txbxContent>
                  <w:p w:rsidR="00855CD1" w:rsidRPr="00446BF8" w:rsidRDefault="00855CD1" w:rsidP="00855CD1">
                    <w:pPr>
                      <w:rPr>
                        <w:color w:val="FFFFFF" w:themeColor="background1"/>
                        <w:sz w:val="22"/>
                        <w:szCs w:val="22"/>
                        <w:lang w:val="es-ES"/>
                      </w:rPr>
                    </w:pPr>
                    <w:r w:rsidRPr="00D87835">
                      <w:rPr>
                        <w:color w:val="FFFFFF" w:themeColor="background1"/>
                        <w:sz w:val="22"/>
                        <w:szCs w:val="22"/>
                        <w:lang w:val="es-ES"/>
                      </w:rPr>
                      <w:t>Call</w:t>
                    </w:r>
                    <w:r>
                      <w:rPr>
                        <w:color w:val="FFFFFF" w:themeColor="background1"/>
                        <w:sz w:val="22"/>
                        <w:szCs w:val="22"/>
                        <w:lang w:val="es-ES"/>
                      </w:rPr>
                      <w:t>e Motolinía #2 antes 13 Esq. Ne</w:t>
                    </w:r>
                    <w:r w:rsidRPr="00D87835">
                      <w:rPr>
                        <w:color w:val="FFFFFF" w:themeColor="background1"/>
                        <w:sz w:val="22"/>
                        <w:szCs w:val="22"/>
                        <w:lang w:val="es-ES"/>
                      </w:rPr>
                      <w:t>zahualcóyotl, Col. Centro, C.P. 62000, Cuernavaca, Morelos, Tel.: 777 329 55 00.</w:t>
                    </w:r>
                  </w:p>
                </w:txbxContent>
              </v:textbox>
              <w10:wrap anchorx="margin"/>
            </v:shape>
          </w:pict>
        </mc:Fallback>
      </mc:AlternateContent>
    </w:r>
    <w:r>
      <w:rPr>
        <w:noProof/>
        <w:lang w:eastAsia="es-MX"/>
      </w:rPr>
      <mc:AlternateContent>
        <mc:Choice Requires="wps">
          <w:drawing>
            <wp:anchor distT="0" distB="0" distL="114300" distR="114300" simplePos="0" relativeHeight="251663360" behindDoc="1" locked="0" layoutInCell="1" allowOverlap="1" wp14:anchorId="42284B00" wp14:editId="1ED22820">
              <wp:simplePos x="0" y="0"/>
              <wp:positionH relativeFrom="page">
                <wp:align>left</wp:align>
              </wp:positionH>
              <wp:positionV relativeFrom="paragraph">
                <wp:posOffset>-88900</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190B55F" id="Rectángulo 7" o:spid="_x0000_s1026" style="position:absolute;margin-left:0;margin-top:-7pt;width:686.1pt;height:94.85pt;z-index:-251653120;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" fillcolor="#223b65" strokecolor="#243f60 [1604]" strokeweight="2pt">
              <w10:wrap anchorx="page"/>
            </v:rect>
          </w:pict>
        </mc:Fallback>
      </mc:AlternateContent>
    </w:r>
    <w:sdt>
      <w:sdtPr>
        <w:id w:val="-1178041690"/>
        <w:docPartObj>
          <w:docPartGallery w:val="Page Numbers (Bottom of Page)"/>
          <w:docPartUnique/>
        </w:docPartObj>
      </w:sdtPr>
      <w:sdtEndPr>
        <w:rPr>
          <w:color w:val="FFFFFF" w:themeColor="background1"/>
        </w:rPr>
      </w:sdtEndPr>
      <w:sdtContent>
        <w:r w:rsidRPr="0021265F">
          <w:rPr>
            <w:color w:val="FFFFFF" w:themeColor="background1"/>
          </w:rPr>
          <w:fldChar w:fldCharType="begin"/>
        </w:r>
        <w:r w:rsidRPr="0021265F">
          <w:rPr>
            <w:color w:val="FFFFFF" w:themeColor="background1"/>
          </w:rPr>
          <w:instrText>PAGE   \* MERGEFORMAT</w:instrText>
        </w:r>
        <w:r w:rsidRPr="0021265F">
          <w:rPr>
            <w:color w:val="FFFFFF" w:themeColor="background1"/>
          </w:rPr>
          <w:fldChar w:fldCharType="separate"/>
        </w:r>
        <w:r w:rsidR="0061160B" w:rsidRPr="0061160B">
          <w:rPr>
            <w:noProof/>
            <w:color w:val="FFFFFF" w:themeColor="background1"/>
            <w:lang w:val="es-ES"/>
          </w:rPr>
          <w:t>3</w:t>
        </w:r>
        <w:r w:rsidRPr="0021265F">
          <w:rPr>
            <w:color w:val="FFFFFF" w:themeColor="background1"/>
          </w:rPr>
          <w:fldChar w:fldCharType="end"/>
        </w:r>
      </w:sdtContent>
    </w:sdt>
  </w:p>
  <w:p w14:paraId="4F0F25A9" w14:textId="77777777" w:rsidR="00BF7623" w:rsidRDefault="0061160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E4433" w14:textId="77777777" w:rsidR="00FF277B" w:rsidRDefault="00FF277B">
      <w:r>
        <w:separator/>
      </w:r>
    </w:p>
  </w:footnote>
  <w:footnote w:type="continuationSeparator" w:id="0">
    <w:p w14:paraId="5D5B170C" w14:textId="77777777" w:rsidR="00FF277B" w:rsidRDefault="00FF27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32434" w14:textId="77777777" w:rsidR="00BF7623" w:rsidRDefault="008E10D7">
    <w:pPr>
      <w:pStyle w:val="Encabezado"/>
    </w:pPr>
    <w:r>
      <w:rPr>
        <w:noProof/>
        <w:lang w:eastAsia="es-MX"/>
      </w:rPr>
      <w:drawing>
        <wp:anchor distT="0" distB="0" distL="114300" distR="114300" simplePos="0" relativeHeight="251661312" behindDoc="1" locked="0" layoutInCell="1" allowOverlap="1" wp14:anchorId="06FC23E0" wp14:editId="11F8F20A">
          <wp:simplePos x="0" y="0"/>
          <wp:positionH relativeFrom="column">
            <wp:posOffset>1237993</wp:posOffset>
          </wp:positionH>
          <wp:positionV relativeFrom="paragraph">
            <wp:posOffset>-279657</wp:posOffset>
          </wp:positionV>
          <wp:extent cx="880026" cy="1323975"/>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026" cy="132397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166A33CE" wp14:editId="035229B0">
          <wp:simplePos x="0" y="0"/>
          <wp:positionH relativeFrom="column">
            <wp:posOffset>-637486</wp:posOffset>
          </wp:positionH>
          <wp:positionV relativeFrom="paragraph">
            <wp:posOffset>-342468</wp:posOffset>
          </wp:positionV>
          <wp:extent cx="1748155" cy="1466850"/>
          <wp:effectExtent l="0" t="0" r="4445" b="635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0215F77B" wp14:editId="1FC3DDCD">
          <wp:simplePos x="0" y="0"/>
          <wp:positionH relativeFrom="column">
            <wp:posOffset>-1914939</wp:posOffset>
          </wp:positionH>
          <wp:positionV relativeFrom="page">
            <wp:posOffset>-635</wp:posOffset>
          </wp:positionV>
          <wp:extent cx="1247775" cy="10512425"/>
          <wp:effectExtent l="0" t="0" r="0" b="317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E0FC4"/>
    <w:multiLevelType w:val="hybridMultilevel"/>
    <w:tmpl w:val="317CE6C2"/>
    <w:lvl w:ilvl="0" w:tplc="8A26756C">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D93"/>
    <w:rsid w:val="000410EC"/>
    <w:rsid w:val="000509AE"/>
    <w:rsid w:val="00052F86"/>
    <w:rsid w:val="000A3AE3"/>
    <w:rsid w:val="00120D93"/>
    <w:rsid w:val="001332DD"/>
    <w:rsid w:val="00156B97"/>
    <w:rsid w:val="001B4239"/>
    <w:rsid w:val="00204BC0"/>
    <w:rsid w:val="0021265F"/>
    <w:rsid w:val="002344A5"/>
    <w:rsid w:val="00295015"/>
    <w:rsid w:val="00296E3A"/>
    <w:rsid w:val="002A7753"/>
    <w:rsid w:val="00351C9B"/>
    <w:rsid w:val="003C4B19"/>
    <w:rsid w:val="003F15C4"/>
    <w:rsid w:val="003F6EA5"/>
    <w:rsid w:val="004D4EF9"/>
    <w:rsid w:val="004F20A9"/>
    <w:rsid w:val="00547857"/>
    <w:rsid w:val="005A6611"/>
    <w:rsid w:val="0061160B"/>
    <w:rsid w:val="006A0F07"/>
    <w:rsid w:val="007C18A5"/>
    <w:rsid w:val="007E6EDE"/>
    <w:rsid w:val="007F23E8"/>
    <w:rsid w:val="00855CD1"/>
    <w:rsid w:val="00857826"/>
    <w:rsid w:val="00891560"/>
    <w:rsid w:val="008E10D7"/>
    <w:rsid w:val="009B3341"/>
    <w:rsid w:val="00A226DA"/>
    <w:rsid w:val="00A56640"/>
    <w:rsid w:val="00A7124B"/>
    <w:rsid w:val="00A7641C"/>
    <w:rsid w:val="00A925DF"/>
    <w:rsid w:val="00AD7FB8"/>
    <w:rsid w:val="00AE74E0"/>
    <w:rsid w:val="00B01A89"/>
    <w:rsid w:val="00B9037F"/>
    <w:rsid w:val="00BD2BE6"/>
    <w:rsid w:val="00C53E73"/>
    <w:rsid w:val="00CA4D4E"/>
    <w:rsid w:val="00D67C55"/>
    <w:rsid w:val="00D76614"/>
    <w:rsid w:val="00D976A1"/>
    <w:rsid w:val="00DD0ABD"/>
    <w:rsid w:val="00E23907"/>
    <w:rsid w:val="00E56A21"/>
    <w:rsid w:val="00EC47DE"/>
    <w:rsid w:val="00EF0DBA"/>
    <w:rsid w:val="00EF73E9"/>
    <w:rsid w:val="00F37545"/>
    <w:rsid w:val="00F431C8"/>
    <w:rsid w:val="00F64B99"/>
    <w:rsid w:val="00F859E2"/>
    <w:rsid w:val="00F8653C"/>
    <w:rsid w:val="00FE3074"/>
    <w:rsid w:val="00FF27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062A45"/>
  <w15:docId w15:val="{54131B53-1746-463E-8328-E45EB809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D93"/>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0D93"/>
    <w:pPr>
      <w:tabs>
        <w:tab w:val="center" w:pos="4419"/>
        <w:tab w:val="right" w:pos="8838"/>
      </w:tabs>
    </w:pPr>
  </w:style>
  <w:style w:type="character" w:customStyle="1" w:styleId="EncabezadoCar">
    <w:name w:val="Encabezado Car"/>
    <w:basedOn w:val="Fuentedeprrafopredeter"/>
    <w:link w:val="Encabezado"/>
    <w:uiPriority w:val="99"/>
    <w:rsid w:val="00120D93"/>
    <w:rPr>
      <w:sz w:val="24"/>
      <w:szCs w:val="24"/>
    </w:rPr>
  </w:style>
  <w:style w:type="paragraph" w:styleId="Piedepgina">
    <w:name w:val="footer"/>
    <w:basedOn w:val="Normal"/>
    <w:link w:val="PiedepginaCar"/>
    <w:uiPriority w:val="99"/>
    <w:unhideWhenUsed/>
    <w:rsid w:val="00120D93"/>
    <w:pPr>
      <w:tabs>
        <w:tab w:val="center" w:pos="4419"/>
        <w:tab w:val="right" w:pos="8838"/>
      </w:tabs>
    </w:pPr>
  </w:style>
  <w:style w:type="character" w:customStyle="1" w:styleId="PiedepginaCar">
    <w:name w:val="Pie de página Car"/>
    <w:basedOn w:val="Fuentedeprrafopredeter"/>
    <w:link w:val="Piedepgina"/>
    <w:uiPriority w:val="99"/>
    <w:rsid w:val="00120D93"/>
    <w:rPr>
      <w:sz w:val="24"/>
      <w:szCs w:val="24"/>
    </w:rPr>
  </w:style>
  <w:style w:type="paragraph" w:styleId="Sinespaciado">
    <w:name w:val="No Spacing"/>
    <w:aliases w:val="RESOLUTIVOS"/>
    <w:link w:val="SinespaciadoCar"/>
    <w:uiPriority w:val="1"/>
    <w:qFormat/>
    <w:rsid w:val="00120D93"/>
    <w:pPr>
      <w:spacing w:after="0" w:line="240" w:lineRule="auto"/>
    </w:pPr>
    <w:rPr>
      <w:sz w:val="24"/>
      <w:szCs w:val="24"/>
    </w:rPr>
  </w:style>
  <w:style w:type="paragraph" w:styleId="NormalWeb">
    <w:name w:val="Normal (Web)"/>
    <w:basedOn w:val="Normal"/>
    <w:uiPriority w:val="99"/>
    <w:unhideWhenUsed/>
    <w:rsid w:val="00120D93"/>
    <w:pPr>
      <w:spacing w:before="100" w:beforeAutospacing="1" w:after="100" w:afterAutospacing="1"/>
    </w:pPr>
    <w:rPr>
      <w:rFonts w:ascii="Times New Roman" w:eastAsia="Times New Roman" w:hAnsi="Times New Roman" w:cs="Times New Roman"/>
      <w:lang w:val="es-ES" w:eastAsia="es-ES"/>
    </w:rPr>
  </w:style>
  <w:style w:type="character" w:customStyle="1" w:styleId="SinespaciadoCar">
    <w:name w:val="Sin espaciado Car"/>
    <w:aliases w:val="RESOLUTIVOS Car"/>
    <w:link w:val="Sinespaciado"/>
    <w:uiPriority w:val="1"/>
    <w:locked/>
    <w:rsid w:val="00120D93"/>
    <w:rPr>
      <w:sz w:val="24"/>
      <w:szCs w:val="24"/>
    </w:rPr>
  </w:style>
  <w:style w:type="paragraph" w:styleId="Prrafodelista">
    <w:name w:val="List Paragraph"/>
    <w:basedOn w:val="Normal"/>
    <w:uiPriority w:val="34"/>
    <w:qFormat/>
    <w:rsid w:val="009B3341"/>
    <w:pPr>
      <w:ind w:left="720"/>
      <w:contextualSpacing/>
    </w:pPr>
  </w:style>
  <w:style w:type="paragraph" w:styleId="Textodeglobo">
    <w:name w:val="Balloon Text"/>
    <w:basedOn w:val="Normal"/>
    <w:link w:val="TextodegloboCar"/>
    <w:uiPriority w:val="99"/>
    <w:semiHidden/>
    <w:unhideWhenUsed/>
    <w:rsid w:val="001B42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4239"/>
    <w:rPr>
      <w:rFonts w:ascii="Segoe UI" w:hAnsi="Segoe UI" w:cs="Segoe UI"/>
      <w:sz w:val="18"/>
      <w:szCs w:val="18"/>
    </w:rPr>
  </w:style>
  <w:style w:type="table" w:styleId="Tablaconcuadrcula">
    <w:name w:val="Table Grid"/>
    <w:basedOn w:val="Tablanormal"/>
    <w:uiPriority w:val="39"/>
    <w:rsid w:val="00CA4D4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EAC99-9671-4717-AD70-4E922878D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5451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david flores figueroa</dc:creator>
  <cp:lastModifiedBy>Laura Berenice Beltran Zuniga</cp:lastModifiedBy>
  <cp:revision>3</cp:revision>
  <cp:lastPrinted>2023-03-28T21:01:00Z</cp:lastPrinted>
  <dcterms:created xsi:type="dcterms:W3CDTF">2023-03-28T21:00:00Z</dcterms:created>
  <dcterms:modified xsi:type="dcterms:W3CDTF">2023-03-28T21:01:00Z</dcterms:modified>
</cp:coreProperties>
</file>