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FCA1C3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1B6ECC">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35617D51" w14:textId="7E8CD427" w:rsidR="001B6ECC" w:rsidRPr="001B6ECC" w:rsidRDefault="001F2305" w:rsidP="001B6ECC">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1B6ECC" w:rsidRPr="001B6ECC">
              <w:rPr>
                <w:rFonts w:ascii="Arial" w:hAnsi="Arial" w:cs="Arial"/>
                <w:b/>
                <w:bCs/>
                <w:sz w:val="16"/>
                <w:szCs w:val="16"/>
                <w:lang w:val="es-MX"/>
              </w:rPr>
              <w:t xml:space="preserve">SO/AC-300/22-III-2023 </w:t>
            </w:r>
            <w:r w:rsidR="00D172FB" w:rsidRPr="001B6ECC">
              <w:rPr>
                <w:rFonts w:ascii="Arial" w:hAnsi="Arial" w:cs="Arial"/>
                <w:b/>
                <w:bCs/>
                <w:sz w:val="16"/>
                <w:szCs w:val="16"/>
                <w:lang w:val="es-MX"/>
              </w:rPr>
              <w:t xml:space="preserve">por el que se autoriza el Programa </w:t>
            </w:r>
            <w:r w:rsidR="00D172FB">
              <w:rPr>
                <w:rFonts w:ascii="Arial" w:hAnsi="Arial" w:cs="Arial"/>
                <w:b/>
                <w:bCs/>
                <w:sz w:val="16"/>
                <w:szCs w:val="16"/>
                <w:lang w:val="es-MX"/>
              </w:rPr>
              <w:t>d</w:t>
            </w:r>
            <w:r w:rsidR="00D172FB" w:rsidRPr="001B6ECC">
              <w:rPr>
                <w:rFonts w:ascii="Arial" w:hAnsi="Arial" w:cs="Arial"/>
                <w:b/>
                <w:bCs/>
                <w:sz w:val="16"/>
                <w:szCs w:val="16"/>
                <w:lang w:val="es-MX"/>
              </w:rPr>
              <w:t xml:space="preserve">e Regularización </w:t>
            </w:r>
            <w:r w:rsidR="00D172FB">
              <w:rPr>
                <w:rFonts w:ascii="Arial" w:hAnsi="Arial" w:cs="Arial"/>
                <w:b/>
                <w:bCs/>
                <w:sz w:val="16"/>
                <w:szCs w:val="16"/>
                <w:lang w:val="es-MX"/>
              </w:rPr>
              <w:t>d</w:t>
            </w:r>
            <w:r w:rsidR="00D172FB" w:rsidRPr="001B6ECC">
              <w:rPr>
                <w:rFonts w:ascii="Arial" w:hAnsi="Arial" w:cs="Arial"/>
                <w:b/>
                <w:bCs/>
                <w:sz w:val="16"/>
                <w:szCs w:val="16"/>
                <w:lang w:val="es-MX"/>
              </w:rPr>
              <w:t xml:space="preserve">e Predios </w:t>
            </w:r>
            <w:r w:rsidR="00D172FB">
              <w:rPr>
                <w:rFonts w:ascii="Arial" w:hAnsi="Arial" w:cs="Arial"/>
                <w:b/>
                <w:bCs/>
                <w:sz w:val="16"/>
                <w:szCs w:val="16"/>
                <w:lang w:val="es-MX"/>
              </w:rPr>
              <w:t>c</w:t>
            </w:r>
            <w:r w:rsidR="00D172FB" w:rsidRPr="001B6ECC">
              <w:rPr>
                <w:rFonts w:ascii="Arial" w:hAnsi="Arial" w:cs="Arial"/>
                <w:b/>
                <w:bCs/>
                <w:sz w:val="16"/>
                <w:szCs w:val="16"/>
                <w:lang w:val="es-MX"/>
              </w:rPr>
              <w:t xml:space="preserve">on Construcción Ocultos a la Acción Fiscal; otorgando el beneficio de cubrir únicamente el pago correspondiente al ejercicio fiscal 2023, aplicando dicho estímulo fiscal conforme a la tabla de valores unitarios de 2007, con una vigencia al 31 de diciembre de 2023. </w:t>
            </w:r>
          </w:p>
          <w:p w14:paraId="1D03D12B" w14:textId="78115BD9" w:rsidR="001F2305" w:rsidRPr="00430340" w:rsidRDefault="001F2305" w:rsidP="003636FE">
            <w:pPr>
              <w:jc w:val="both"/>
              <w:rPr>
                <w:rFonts w:ascii="Times New Roman" w:hAnsi="Times New Roman" w:cs="Times New Roman"/>
                <w:b/>
                <w:sz w:val="23"/>
                <w:szCs w:val="23"/>
                <w:lang w:val="es-MX"/>
              </w:rPr>
            </w:pP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1A68096" w14:textId="77777777" w:rsidR="00045571" w:rsidRDefault="00045571" w:rsidP="00477A09">
      <w:pPr>
        <w:spacing w:line="276" w:lineRule="auto"/>
        <w:jc w:val="right"/>
        <w:rPr>
          <w:rFonts w:ascii="Arial" w:hAnsi="Arial" w:cs="Arial"/>
          <w:b/>
          <w:bCs/>
          <w:sz w:val="26"/>
          <w:szCs w:val="26"/>
        </w:rPr>
      </w:pPr>
    </w:p>
    <w:p w14:paraId="2F539F06" w14:textId="77777777" w:rsidR="00045571" w:rsidRDefault="00045571" w:rsidP="00477A09">
      <w:pPr>
        <w:spacing w:line="276" w:lineRule="auto"/>
        <w:jc w:val="right"/>
        <w:rPr>
          <w:rFonts w:ascii="Arial" w:hAnsi="Arial" w:cs="Arial"/>
          <w:b/>
          <w:bCs/>
          <w:sz w:val="26"/>
          <w:szCs w:val="26"/>
        </w:rPr>
      </w:pPr>
    </w:p>
    <w:p w14:paraId="47D3CF26" w14:textId="77777777" w:rsidR="00D172FB" w:rsidRDefault="00D172FB" w:rsidP="00477A09">
      <w:pPr>
        <w:spacing w:line="276" w:lineRule="auto"/>
        <w:jc w:val="right"/>
        <w:rPr>
          <w:rFonts w:ascii="Arial" w:hAnsi="Arial" w:cs="Arial"/>
          <w:b/>
          <w:bCs/>
          <w:sz w:val="26"/>
          <w:szCs w:val="26"/>
        </w:rPr>
      </w:pPr>
    </w:p>
    <w:p w14:paraId="4C2B05AA" w14:textId="7C4A4206"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0E921729"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D172FB" w:rsidRPr="00D172FB">
        <w:rPr>
          <w:rFonts w:ascii="Arial" w:hAnsi="Arial" w:cs="Arial"/>
          <w:b/>
          <w:bCs/>
          <w:sz w:val="26"/>
          <w:szCs w:val="26"/>
          <w:lang w:val="es-MX"/>
        </w:rPr>
        <w:t xml:space="preserve">SO/AC-300/22-III-2023 por el que se autoriza el </w:t>
      </w:r>
      <w:r w:rsidR="00D172FB" w:rsidRPr="00D172FB">
        <w:rPr>
          <w:rFonts w:ascii="Arial" w:hAnsi="Arial" w:cs="Arial"/>
          <w:b/>
          <w:bCs/>
          <w:sz w:val="26"/>
          <w:szCs w:val="26"/>
          <w:lang w:val="es-MX"/>
        </w:rPr>
        <w:lastRenderedPageBreak/>
        <w:t>Programa de Regularización de Predios con Construcción Ocultos a la Acción Fiscal; otorgando el beneficio de cubrir únicamente el pago correspondiente al ejercicio fiscal 2023, aplicando dicho estímulo fiscal conforme a la tabla de valores unitarios de 2007, con una vigencia al 31 de diciembre de 2023</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9863" w14:textId="77777777" w:rsidR="004E7834" w:rsidRDefault="004E7834" w:rsidP="002F55F0">
      <w:r>
        <w:separator/>
      </w:r>
    </w:p>
  </w:endnote>
  <w:endnote w:type="continuationSeparator" w:id="0">
    <w:p w14:paraId="0688A0AF" w14:textId="77777777" w:rsidR="004E7834" w:rsidRDefault="004E7834"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3B2E" w14:textId="77777777" w:rsidR="004E7834" w:rsidRDefault="004E7834" w:rsidP="002F55F0">
      <w:r>
        <w:separator/>
      </w:r>
    </w:p>
  </w:footnote>
  <w:footnote w:type="continuationSeparator" w:id="0">
    <w:p w14:paraId="590CC108" w14:textId="77777777" w:rsidR="004E7834" w:rsidRDefault="004E7834"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281</cp:revision>
  <cp:lastPrinted>2023-04-13T23:06:00Z</cp:lastPrinted>
  <dcterms:created xsi:type="dcterms:W3CDTF">2022-01-24T17:53:00Z</dcterms:created>
  <dcterms:modified xsi:type="dcterms:W3CDTF">2023-04-13T23:06:00Z</dcterms:modified>
</cp:coreProperties>
</file>