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DA8C" w14:textId="77777777" w:rsidR="00D60C72" w:rsidRPr="00FE4572" w:rsidRDefault="00D60C72" w:rsidP="00D60C72">
      <w:pPr>
        <w:jc w:val="center"/>
        <w:rPr>
          <w:rFonts w:ascii="Arial" w:hAnsi="Arial" w:cs="Arial"/>
          <w:b/>
          <w:bCs/>
          <w:sz w:val="26"/>
          <w:szCs w:val="26"/>
        </w:rPr>
      </w:pPr>
      <w:r w:rsidRPr="00FE4572">
        <w:rPr>
          <w:rFonts w:ascii="Arial" w:hAnsi="Arial" w:cs="Arial"/>
          <w:b/>
          <w:bCs/>
          <w:sz w:val="26"/>
          <w:szCs w:val="26"/>
        </w:rPr>
        <w:t>MEMORÁNDUM</w:t>
      </w:r>
    </w:p>
    <w:p w14:paraId="5D3118AE" w14:textId="77777777" w:rsidR="00D60C72" w:rsidRPr="00FE4572" w:rsidRDefault="00D60C72" w:rsidP="00D60C72">
      <w:pPr>
        <w:ind w:left="567"/>
        <w:jc w:val="both"/>
        <w:rPr>
          <w:rFonts w:ascii="Arial" w:hAnsi="Arial" w:cs="Arial"/>
          <w:b/>
          <w:bCs/>
          <w:sz w:val="26"/>
          <w:szCs w:val="26"/>
        </w:rPr>
      </w:pPr>
    </w:p>
    <w:p w14:paraId="3F8CB3A9" w14:textId="77777777" w:rsidR="00D60C72" w:rsidRPr="00FE4572" w:rsidRDefault="00D60C72" w:rsidP="00D60C72">
      <w:pPr>
        <w:ind w:left="2694"/>
        <w:jc w:val="both"/>
        <w:rPr>
          <w:rFonts w:ascii="Arial" w:hAnsi="Arial" w:cs="Arial"/>
          <w:b/>
          <w:bCs/>
          <w:sz w:val="26"/>
          <w:szCs w:val="26"/>
        </w:rPr>
      </w:pPr>
      <w:r w:rsidRPr="00FE4572">
        <w:rPr>
          <w:rFonts w:ascii="Arial" w:hAnsi="Arial" w:cs="Arial"/>
          <w:b/>
          <w:bCs/>
          <w:sz w:val="26"/>
          <w:szCs w:val="26"/>
        </w:rPr>
        <w:t>“2022, año de Ricardo Flores Magón”</w:t>
      </w:r>
    </w:p>
    <w:p w14:paraId="13D53C2E" w14:textId="77777777" w:rsidR="00D60C72" w:rsidRPr="00FE4572" w:rsidRDefault="00D60C72" w:rsidP="00D60C72">
      <w:pPr>
        <w:ind w:left="2694"/>
        <w:jc w:val="both"/>
        <w:rPr>
          <w:rFonts w:ascii="Arial" w:hAnsi="Arial" w:cs="Arial"/>
          <w:b/>
          <w:bCs/>
          <w:sz w:val="26"/>
          <w:szCs w:val="26"/>
        </w:rPr>
      </w:pPr>
    </w:p>
    <w:p w14:paraId="767265C2" w14:textId="4DCAED12" w:rsidR="00D60C72" w:rsidRPr="00FE4572" w:rsidRDefault="00D60C72" w:rsidP="00D60C72">
      <w:pPr>
        <w:ind w:left="2694"/>
        <w:jc w:val="both"/>
        <w:rPr>
          <w:rFonts w:ascii="Arial" w:hAnsi="Arial" w:cs="Arial"/>
          <w:b/>
          <w:bCs/>
          <w:sz w:val="26"/>
          <w:szCs w:val="26"/>
        </w:rPr>
      </w:pPr>
      <w:r w:rsidRPr="00FE4572">
        <w:rPr>
          <w:rFonts w:ascii="Arial" w:hAnsi="Arial" w:cs="Arial"/>
          <w:b/>
          <w:bCs/>
          <w:sz w:val="26"/>
          <w:szCs w:val="26"/>
        </w:rPr>
        <w:t xml:space="preserve">Cuernavaca, Morelos a </w:t>
      </w:r>
      <w:r w:rsidR="00DD1A46">
        <w:rPr>
          <w:rFonts w:ascii="Arial" w:hAnsi="Arial" w:cs="Arial"/>
          <w:b/>
          <w:bCs/>
          <w:sz w:val="26"/>
          <w:szCs w:val="26"/>
        </w:rPr>
        <w:t>12</w:t>
      </w:r>
      <w:r w:rsidRPr="00FE4572">
        <w:rPr>
          <w:rFonts w:ascii="Arial" w:hAnsi="Arial" w:cs="Arial"/>
          <w:b/>
          <w:bCs/>
          <w:sz w:val="26"/>
          <w:szCs w:val="26"/>
        </w:rPr>
        <w:t xml:space="preserve"> de </w:t>
      </w:r>
      <w:r>
        <w:rPr>
          <w:rFonts w:ascii="Arial" w:hAnsi="Arial" w:cs="Arial"/>
          <w:b/>
          <w:bCs/>
          <w:sz w:val="26"/>
          <w:szCs w:val="26"/>
        </w:rPr>
        <w:t>diciembre</w:t>
      </w:r>
      <w:r w:rsidRPr="00FE4572">
        <w:rPr>
          <w:rFonts w:ascii="Arial" w:hAnsi="Arial" w:cs="Arial"/>
          <w:b/>
          <w:bCs/>
          <w:sz w:val="26"/>
          <w:szCs w:val="26"/>
        </w:rPr>
        <w:t xml:space="preserve"> de 2022</w:t>
      </w:r>
    </w:p>
    <w:p w14:paraId="1DB6B465" w14:textId="7F920F53" w:rsidR="00D60C72" w:rsidRPr="00FE4572" w:rsidRDefault="00D60C72" w:rsidP="00D60C72">
      <w:pPr>
        <w:ind w:left="2694"/>
        <w:jc w:val="both"/>
        <w:rPr>
          <w:rFonts w:ascii="Arial" w:hAnsi="Arial" w:cs="Arial"/>
          <w:b/>
          <w:bCs/>
          <w:sz w:val="26"/>
          <w:szCs w:val="26"/>
        </w:rPr>
      </w:pPr>
      <w:r w:rsidRPr="00FE4572">
        <w:rPr>
          <w:rFonts w:ascii="Arial" w:hAnsi="Arial" w:cs="Arial"/>
          <w:b/>
          <w:bCs/>
          <w:sz w:val="26"/>
          <w:szCs w:val="26"/>
        </w:rPr>
        <w:t xml:space="preserve">Folio: </w:t>
      </w:r>
      <w:proofErr w:type="spellStart"/>
      <w:r w:rsidRPr="00FE4572">
        <w:rPr>
          <w:rFonts w:ascii="Arial" w:hAnsi="Arial" w:cs="Arial"/>
          <w:b/>
          <w:bCs/>
          <w:sz w:val="26"/>
          <w:szCs w:val="26"/>
        </w:rPr>
        <w:t>SDEyT</w:t>
      </w:r>
      <w:proofErr w:type="spellEnd"/>
      <w:r w:rsidRPr="00FE4572">
        <w:rPr>
          <w:rFonts w:ascii="Arial" w:hAnsi="Arial" w:cs="Arial"/>
          <w:b/>
          <w:bCs/>
          <w:sz w:val="26"/>
          <w:szCs w:val="26"/>
        </w:rPr>
        <w:t>/DMR/</w:t>
      </w:r>
      <w:r w:rsidR="004F512C">
        <w:rPr>
          <w:rFonts w:ascii="Arial" w:hAnsi="Arial" w:cs="Arial"/>
          <w:b/>
          <w:bCs/>
          <w:sz w:val="26"/>
          <w:szCs w:val="26"/>
        </w:rPr>
        <w:t>775</w:t>
      </w:r>
      <w:r w:rsidRPr="00FE4572">
        <w:rPr>
          <w:rFonts w:ascii="Arial" w:hAnsi="Arial" w:cs="Arial"/>
          <w:b/>
          <w:bCs/>
          <w:sz w:val="26"/>
          <w:szCs w:val="26"/>
        </w:rPr>
        <w:t>/2022</w:t>
      </w:r>
    </w:p>
    <w:p w14:paraId="05335658" w14:textId="77777777" w:rsidR="00D60C72" w:rsidRPr="00FE4572" w:rsidRDefault="00D60C72" w:rsidP="00D60C72">
      <w:pPr>
        <w:ind w:left="3402"/>
        <w:jc w:val="both"/>
        <w:rPr>
          <w:rFonts w:ascii="Arial" w:hAnsi="Arial" w:cs="Arial"/>
          <w:b/>
          <w:bCs/>
          <w:sz w:val="26"/>
          <w:szCs w:val="26"/>
        </w:rPr>
      </w:pPr>
    </w:p>
    <w:p w14:paraId="4325C2AE" w14:textId="03A16F50" w:rsidR="00D60C72" w:rsidRDefault="00D60C72" w:rsidP="00D60C72">
      <w:pPr>
        <w:ind w:left="2694"/>
        <w:jc w:val="both"/>
        <w:rPr>
          <w:rFonts w:ascii="Arial" w:hAnsi="Arial" w:cs="Arial"/>
          <w:b/>
          <w:bCs/>
          <w:sz w:val="26"/>
          <w:szCs w:val="26"/>
        </w:rPr>
      </w:pPr>
      <w:r w:rsidRPr="00FE4572">
        <w:rPr>
          <w:rFonts w:ascii="Arial" w:hAnsi="Arial" w:cs="Arial"/>
          <w:b/>
          <w:bCs/>
          <w:sz w:val="26"/>
          <w:szCs w:val="26"/>
        </w:rPr>
        <w:t xml:space="preserve">Asunto: </w:t>
      </w:r>
      <w:r>
        <w:rPr>
          <w:rFonts w:ascii="Arial" w:hAnsi="Arial" w:cs="Arial"/>
          <w:sz w:val="26"/>
          <w:szCs w:val="26"/>
        </w:rPr>
        <w:t xml:space="preserve">observaciones al Reglamento del </w:t>
      </w:r>
      <w:r w:rsidR="00C44DF6">
        <w:rPr>
          <w:rFonts w:ascii="Arial" w:hAnsi="Arial" w:cs="Arial"/>
          <w:sz w:val="26"/>
          <w:szCs w:val="26"/>
        </w:rPr>
        <w:t>Presupuesto Social Ciudadano del Ayuntamiento de Cuernavaca, Morelos</w:t>
      </w:r>
    </w:p>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70DDE70" w14:textId="4EB22E1A" w:rsidR="00353669" w:rsidRDefault="00DD1A46" w:rsidP="003B5F86">
      <w:pPr>
        <w:ind w:left="567" w:right="2127"/>
        <w:jc w:val="both"/>
        <w:rPr>
          <w:rFonts w:ascii="Arial" w:hAnsi="Arial" w:cs="Arial"/>
          <w:b/>
          <w:bCs/>
          <w:sz w:val="26"/>
          <w:szCs w:val="26"/>
        </w:rPr>
      </w:pPr>
      <w:r>
        <w:rPr>
          <w:rFonts w:ascii="Arial" w:hAnsi="Arial" w:cs="Arial"/>
          <w:b/>
          <w:bCs/>
          <w:sz w:val="26"/>
          <w:szCs w:val="26"/>
        </w:rPr>
        <w:t>REG. PAZ HERNÁNDEZ PARDO</w:t>
      </w:r>
    </w:p>
    <w:p w14:paraId="249F8878" w14:textId="1E630277" w:rsidR="00DD1A46" w:rsidRPr="003B5F86" w:rsidRDefault="00DD1A46" w:rsidP="003B5F86">
      <w:pPr>
        <w:ind w:left="567" w:right="2127"/>
        <w:jc w:val="both"/>
        <w:rPr>
          <w:rFonts w:ascii="Arial" w:hAnsi="Arial" w:cs="Arial"/>
          <w:b/>
          <w:bCs/>
          <w:sz w:val="26"/>
          <w:szCs w:val="26"/>
        </w:rPr>
      </w:pPr>
      <w:r>
        <w:rPr>
          <w:rFonts w:ascii="Arial" w:hAnsi="Arial" w:cs="Arial"/>
          <w:b/>
          <w:bCs/>
          <w:sz w:val="26"/>
          <w:szCs w:val="26"/>
        </w:rPr>
        <w:t>REGIDORA PRESIDENTA DE LAS COMISIONES DE DESARROLLO AGROPECUARIO, Y GOBERNACIÓN Y REGLAMENTOS DE CUERNAVACA</w:t>
      </w:r>
    </w:p>
    <w:p w14:paraId="00342DEE" w14:textId="504BB437" w:rsidR="00DD6AF4" w:rsidRPr="003B5F86" w:rsidRDefault="00DD6AF4" w:rsidP="003B5F86">
      <w:pPr>
        <w:ind w:left="567" w:right="2127"/>
        <w:jc w:val="both"/>
        <w:rPr>
          <w:rFonts w:ascii="Arial" w:hAnsi="Arial" w:cs="Arial"/>
          <w:b/>
          <w:bCs/>
          <w:sz w:val="26"/>
          <w:szCs w:val="26"/>
        </w:rPr>
      </w:pPr>
      <w:r w:rsidRPr="003B5F86">
        <w:rPr>
          <w:rFonts w:ascii="Arial" w:hAnsi="Arial" w:cs="Arial"/>
          <w:b/>
          <w:bCs/>
          <w:sz w:val="26"/>
          <w:szCs w:val="26"/>
        </w:rPr>
        <w:t>P R E S E N T E</w:t>
      </w:r>
    </w:p>
    <w:p w14:paraId="2FEAFF33" w14:textId="7F3E0D5D" w:rsidR="00787E84" w:rsidRPr="003B5F86" w:rsidRDefault="00787E84" w:rsidP="003B5F86">
      <w:pPr>
        <w:ind w:left="567"/>
        <w:jc w:val="both"/>
        <w:rPr>
          <w:rFonts w:ascii="Arial" w:hAnsi="Arial" w:cs="Arial"/>
          <w:b/>
          <w:bCs/>
          <w:sz w:val="26"/>
          <w:szCs w:val="26"/>
        </w:rPr>
      </w:pPr>
    </w:p>
    <w:p w14:paraId="5BD0CED6" w14:textId="5380EDFB" w:rsidR="00DD6AF4" w:rsidRPr="003B5F86" w:rsidRDefault="00DD6AF4" w:rsidP="003B5F86">
      <w:pPr>
        <w:ind w:left="567"/>
        <w:jc w:val="both"/>
        <w:rPr>
          <w:rFonts w:ascii="Arial" w:hAnsi="Arial" w:cs="Arial"/>
          <w:sz w:val="26"/>
          <w:szCs w:val="26"/>
        </w:rPr>
      </w:pPr>
      <w:r w:rsidRPr="003B5F86">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3B5F86">
        <w:rPr>
          <w:rFonts w:ascii="Arial" w:hAnsi="Arial" w:cs="Arial"/>
          <w:sz w:val="26"/>
          <w:szCs w:val="26"/>
        </w:rPr>
        <w:t>el</w:t>
      </w:r>
      <w:r w:rsidRPr="003B5F86">
        <w:rPr>
          <w:rFonts w:ascii="Arial" w:hAnsi="Arial" w:cs="Arial"/>
          <w:sz w:val="26"/>
          <w:szCs w:val="26"/>
        </w:rPr>
        <w:t xml:space="preserve"> artículo </w:t>
      </w:r>
      <w:r w:rsidR="00E27C57" w:rsidRPr="003B5F86">
        <w:rPr>
          <w:rFonts w:ascii="Arial" w:hAnsi="Arial" w:cs="Arial"/>
          <w:sz w:val="26"/>
          <w:szCs w:val="26"/>
        </w:rPr>
        <w:t>96, fracción V</w:t>
      </w:r>
      <w:r w:rsidRPr="003B5F86">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w:t>
      </w:r>
      <w:r w:rsidR="00C44DF6">
        <w:rPr>
          <w:rFonts w:ascii="Arial" w:hAnsi="Arial" w:cs="Arial"/>
          <w:sz w:val="26"/>
          <w:szCs w:val="26"/>
        </w:rPr>
        <w:t>s</w:t>
      </w:r>
      <w:r w:rsidRPr="003B5F86">
        <w:rPr>
          <w:rFonts w:ascii="Arial" w:hAnsi="Arial" w:cs="Arial"/>
          <w:sz w:val="26"/>
          <w:szCs w:val="26"/>
        </w:rPr>
        <w:t>.</w:t>
      </w:r>
    </w:p>
    <w:p w14:paraId="371C3EB6" w14:textId="77777777" w:rsidR="001F2305" w:rsidRPr="003B5F86" w:rsidRDefault="001F2305" w:rsidP="003B5F86">
      <w:pPr>
        <w:rPr>
          <w:rFonts w:ascii="Arial" w:hAnsi="Arial" w:cs="Arial"/>
          <w:sz w:val="26"/>
          <w:szCs w:val="26"/>
        </w:rPr>
      </w:pPr>
    </w:p>
    <w:p w14:paraId="295D7BE5" w14:textId="6338076F" w:rsidR="00DE68E3" w:rsidRDefault="00DD6AF4" w:rsidP="00D60C72">
      <w:pPr>
        <w:tabs>
          <w:tab w:val="left" w:pos="8931"/>
        </w:tabs>
        <w:ind w:left="567"/>
        <w:jc w:val="both"/>
        <w:rPr>
          <w:rFonts w:ascii="Arial" w:hAnsi="Arial" w:cs="Arial"/>
          <w:sz w:val="26"/>
          <w:szCs w:val="26"/>
        </w:rPr>
      </w:pPr>
      <w:r w:rsidRPr="003B5F86">
        <w:rPr>
          <w:rFonts w:ascii="Arial" w:hAnsi="Arial" w:cs="Arial"/>
          <w:sz w:val="26"/>
          <w:szCs w:val="26"/>
        </w:rPr>
        <w:t xml:space="preserve">En atención </w:t>
      </w:r>
      <w:r w:rsidR="001A1009" w:rsidRPr="003B5F86">
        <w:rPr>
          <w:rFonts w:ascii="Arial" w:hAnsi="Arial" w:cs="Arial"/>
          <w:sz w:val="26"/>
          <w:szCs w:val="26"/>
        </w:rPr>
        <w:t xml:space="preserve">a </w:t>
      </w:r>
      <w:r w:rsidR="00353669" w:rsidRPr="003B5F86">
        <w:rPr>
          <w:rFonts w:ascii="Arial" w:hAnsi="Arial" w:cs="Arial"/>
          <w:sz w:val="26"/>
          <w:szCs w:val="26"/>
        </w:rPr>
        <w:t>su similar</w:t>
      </w:r>
      <w:r w:rsidR="00932BAD" w:rsidRPr="003B5F86">
        <w:rPr>
          <w:rFonts w:ascii="Arial" w:hAnsi="Arial" w:cs="Arial"/>
          <w:sz w:val="26"/>
          <w:szCs w:val="26"/>
        </w:rPr>
        <w:t xml:space="preserve"> </w:t>
      </w:r>
      <w:proofErr w:type="spellStart"/>
      <w:r w:rsidR="008C7B21">
        <w:rPr>
          <w:rFonts w:ascii="Arial" w:hAnsi="Arial" w:cs="Arial"/>
          <w:sz w:val="26"/>
          <w:szCs w:val="26"/>
        </w:rPr>
        <w:t>RGyRyDA</w:t>
      </w:r>
      <w:proofErr w:type="spellEnd"/>
      <w:r w:rsidR="008C7B21">
        <w:rPr>
          <w:rFonts w:ascii="Arial" w:hAnsi="Arial" w:cs="Arial"/>
          <w:sz w:val="26"/>
          <w:szCs w:val="26"/>
        </w:rPr>
        <w:t>/</w:t>
      </w:r>
      <w:r w:rsidR="00C44DF6">
        <w:rPr>
          <w:rFonts w:ascii="Arial" w:hAnsi="Arial" w:cs="Arial"/>
          <w:sz w:val="26"/>
          <w:szCs w:val="26"/>
        </w:rPr>
        <w:t>0887</w:t>
      </w:r>
      <w:r w:rsidR="008C7B21">
        <w:rPr>
          <w:rFonts w:ascii="Arial" w:hAnsi="Arial" w:cs="Arial"/>
          <w:sz w:val="26"/>
          <w:szCs w:val="26"/>
        </w:rPr>
        <w:t>/1</w:t>
      </w:r>
      <w:r w:rsidR="00C44DF6">
        <w:rPr>
          <w:rFonts w:ascii="Arial" w:hAnsi="Arial" w:cs="Arial"/>
          <w:sz w:val="26"/>
          <w:szCs w:val="26"/>
        </w:rPr>
        <w:t>5</w:t>
      </w:r>
      <w:r w:rsidR="008C7B21">
        <w:rPr>
          <w:rFonts w:ascii="Arial" w:hAnsi="Arial" w:cs="Arial"/>
          <w:sz w:val="26"/>
          <w:szCs w:val="26"/>
        </w:rPr>
        <w:t>/202</w:t>
      </w:r>
      <w:r w:rsidR="00C44DF6">
        <w:rPr>
          <w:rFonts w:ascii="Arial" w:hAnsi="Arial" w:cs="Arial"/>
          <w:sz w:val="26"/>
          <w:szCs w:val="26"/>
        </w:rPr>
        <w:t>3</w:t>
      </w:r>
      <w:r w:rsidRPr="003B5F86">
        <w:rPr>
          <w:rFonts w:ascii="Arial" w:hAnsi="Arial" w:cs="Arial"/>
          <w:sz w:val="26"/>
          <w:szCs w:val="26"/>
        </w:rPr>
        <w:t xml:space="preserve">, se informa que derivado del análisis realizado a la propuesta regulatoria denominada </w:t>
      </w:r>
      <w:r w:rsidRPr="003B5F86">
        <w:rPr>
          <w:rFonts w:ascii="Arial" w:hAnsi="Arial" w:cs="Arial"/>
          <w:b/>
          <w:sz w:val="26"/>
          <w:szCs w:val="26"/>
        </w:rPr>
        <w:t>“</w:t>
      </w:r>
      <w:r w:rsidR="00C44DF6" w:rsidRPr="00C44DF6">
        <w:rPr>
          <w:rFonts w:ascii="Arial" w:hAnsi="Arial" w:cs="Arial"/>
          <w:b/>
          <w:sz w:val="26"/>
          <w:szCs w:val="26"/>
        </w:rPr>
        <w:t>Reglamento del Presupuesto Social Ciudadano del Ayuntamiento de Cuernavaca, Morelos</w:t>
      </w:r>
      <w:r w:rsidR="006E44BE" w:rsidRPr="003B5F86">
        <w:rPr>
          <w:rFonts w:ascii="Arial" w:hAnsi="Arial" w:cs="Arial"/>
          <w:b/>
          <w:sz w:val="26"/>
          <w:szCs w:val="26"/>
          <w:lang w:val="es-ES"/>
        </w:rPr>
        <w:t>”</w:t>
      </w:r>
      <w:r w:rsidR="006E44BE" w:rsidRPr="003B5F86">
        <w:rPr>
          <w:rFonts w:ascii="Arial" w:hAnsi="Arial" w:cs="Arial"/>
          <w:b/>
          <w:sz w:val="26"/>
          <w:szCs w:val="26"/>
        </w:rPr>
        <w:t xml:space="preserve"> </w:t>
      </w:r>
      <w:r w:rsidR="00D60C72">
        <w:rPr>
          <w:rFonts w:ascii="Arial" w:hAnsi="Arial" w:cs="Arial"/>
          <w:sz w:val="26"/>
          <w:szCs w:val="26"/>
        </w:rPr>
        <w:t>se</w:t>
      </w:r>
      <w:r w:rsidR="00DE68E3">
        <w:rPr>
          <w:rFonts w:ascii="Arial" w:hAnsi="Arial" w:cs="Arial"/>
          <w:sz w:val="26"/>
          <w:szCs w:val="26"/>
        </w:rPr>
        <w:t xml:space="preserve"> </w:t>
      </w:r>
      <w:r w:rsidR="00D60C72" w:rsidRPr="00D60C72">
        <w:rPr>
          <w:rFonts w:ascii="Arial" w:hAnsi="Arial" w:cs="Arial"/>
          <w:b/>
          <w:bCs/>
          <w:sz w:val="26"/>
          <w:szCs w:val="26"/>
          <w:u w:val="single"/>
        </w:rPr>
        <w:t>debe modifica</w:t>
      </w:r>
      <w:r w:rsidR="00D60C72">
        <w:rPr>
          <w:rFonts w:ascii="Arial" w:hAnsi="Arial" w:cs="Arial"/>
          <w:b/>
          <w:bCs/>
          <w:sz w:val="26"/>
          <w:szCs w:val="26"/>
          <w:u w:val="single"/>
        </w:rPr>
        <w:t>r</w:t>
      </w:r>
      <w:r w:rsidR="00D60C72" w:rsidRPr="00D60C72">
        <w:rPr>
          <w:rFonts w:ascii="Arial" w:hAnsi="Arial" w:cs="Arial"/>
          <w:b/>
          <w:bCs/>
          <w:sz w:val="26"/>
          <w:szCs w:val="26"/>
          <w:u w:val="single"/>
        </w:rPr>
        <w:t xml:space="preserve"> </w:t>
      </w:r>
      <w:r w:rsidR="00DE68E3" w:rsidRPr="003C0A61">
        <w:rPr>
          <w:rFonts w:ascii="Arial" w:hAnsi="Arial" w:cs="Arial"/>
          <w:b/>
          <w:bCs/>
          <w:sz w:val="26"/>
          <w:szCs w:val="26"/>
          <w:u w:val="single"/>
        </w:rPr>
        <w:lastRenderedPageBreak/>
        <w:t>la denominación de este Reglamento</w:t>
      </w:r>
      <w:r w:rsidR="00DE68E3">
        <w:rPr>
          <w:rFonts w:ascii="Arial" w:hAnsi="Arial" w:cs="Arial"/>
          <w:sz w:val="26"/>
          <w:szCs w:val="26"/>
        </w:rPr>
        <w:t>,</w:t>
      </w:r>
      <w:r w:rsidR="0023369D">
        <w:rPr>
          <w:rFonts w:ascii="Arial" w:hAnsi="Arial" w:cs="Arial"/>
          <w:sz w:val="26"/>
          <w:szCs w:val="26"/>
        </w:rPr>
        <w:t xml:space="preserve"> </w:t>
      </w:r>
      <w:r w:rsidR="003C0A61">
        <w:rPr>
          <w:rFonts w:ascii="Arial" w:hAnsi="Arial" w:cs="Arial"/>
          <w:sz w:val="26"/>
          <w:szCs w:val="26"/>
        </w:rPr>
        <w:t xml:space="preserve">en virtud que, </w:t>
      </w:r>
      <w:r w:rsidR="0023369D">
        <w:rPr>
          <w:rFonts w:ascii="Arial" w:hAnsi="Arial" w:cs="Arial"/>
          <w:sz w:val="26"/>
          <w:szCs w:val="26"/>
        </w:rPr>
        <w:t>se deben observar dos aspectos importantes cuando se crea un documento normativo: a) la relación entre el contenido y el título</w:t>
      </w:r>
      <w:r w:rsidR="003C0A61">
        <w:rPr>
          <w:rFonts w:ascii="Arial" w:hAnsi="Arial" w:cs="Arial"/>
          <w:sz w:val="26"/>
          <w:szCs w:val="26"/>
        </w:rPr>
        <w:t>,</w:t>
      </w:r>
      <w:r w:rsidR="0023369D">
        <w:rPr>
          <w:rFonts w:ascii="Arial" w:hAnsi="Arial" w:cs="Arial"/>
          <w:sz w:val="26"/>
          <w:szCs w:val="26"/>
        </w:rPr>
        <w:t xml:space="preserve"> y b) los objetos o materias que va a regular</w:t>
      </w:r>
      <w:r w:rsidR="003C0A61">
        <w:rPr>
          <w:rFonts w:ascii="Arial" w:hAnsi="Arial" w:cs="Arial"/>
          <w:sz w:val="26"/>
          <w:szCs w:val="26"/>
        </w:rPr>
        <w:t>,</w:t>
      </w:r>
      <w:r w:rsidR="0023369D">
        <w:rPr>
          <w:rStyle w:val="Refdenotaalpie"/>
          <w:rFonts w:ascii="Arial" w:hAnsi="Arial" w:cs="Arial"/>
          <w:sz w:val="26"/>
          <w:szCs w:val="26"/>
        </w:rPr>
        <w:footnoteReference w:id="1"/>
      </w:r>
      <w:r w:rsidR="003C0A61">
        <w:rPr>
          <w:rFonts w:ascii="Arial" w:hAnsi="Arial" w:cs="Arial"/>
          <w:sz w:val="26"/>
          <w:szCs w:val="26"/>
        </w:rPr>
        <w:t xml:space="preserve"> por ello, un nombre adecuado es el que “consigue identificar y describir exclusiva, rápida, exacta, clara, breve y p</w:t>
      </w:r>
      <w:r w:rsidR="00DB7A77">
        <w:rPr>
          <w:rFonts w:ascii="Arial" w:hAnsi="Arial" w:cs="Arial"/>
          <w:sz w:val="26"/>
          <w:szCs w:val="26"/>
        </w:rPr>
        <w:t>l</w:t>
      </w:r>
      <w:r w:rsidR="003C0A61">
        <w:rPr>
          <w:rFonts w:ascii="Arial" w:hAnsi="Arial" w:cs="Arial"/>
          <w:sz w:val="26"/>
          <w:szCs w:val="26"/>
        </w:rPr>
        <w:t>e</w:t>
      </w:r>
      <w:r w:rsidR="00DB7A77">
        <w:rPr>
          <w:rFonts w:ascii="Arial" w:hAnsi="Arial" w:cs="Arial"/>
          <w:sz w:val="26"/>
          <w:szCs w:val="26"/>
        </w:rPr>
        <w:t>n</w:t>
      </w:r>
      <w:r w:rsidR="003C0A61">
        <w:rPr>
          <w:rFonts w:ascii="Arial" w:hAnsi="Arial" w:cs="Arial"/>
          <w:sz w:val="26"/>
          <w:szCs w:val="26"/>
        </w:rPr>
        <w:t>amente una Ley.”</w:t>
      </w:r>
      <w:r w:rsidR="003C0A61">
        <w:rPr>
          <w:rStyle w:val="Refdenotaalpie"/>
          <w:rFonts w:ascii="Arial" w:hAnsi="Arial" w:cs="Arial"/>
          <w:sz w:val="26"/>
          <w:szCs w:val="26"/>
        </w:rPr>
        <w:footnoteReference w:id="2"/>
      </w:r>
    </w:p>
    <w:p w14:paraId="4A981E62" w14:textId="48D27057" w:rsidR="00D60C72" w:rsidRDefault="00D60C72" w:rsidP="00D60C72">
      <w:pPr>
        <w:tabs>
          <w:tab w:val="left" w:pos="8931"/>
        </w:tabs>
        <w:ind w:left="567"/>
        <w:jc w:val="both"/>
        <w:rPr>
          <w:rFonts w:ascii="Arial" w:hAnsi="Arial" w:cs="Arial"/>
          <w:sz w:val="26"/>
          <w:szCs w:val="26"/>
        </w:rPr>
      </w:pPr>
    </w:p>
    <w:p w14:paraId="53AFB88A" w14:textId="1A71F708" w:rsidR="00C44DF6" w:rsidRPr="00C44DF6" w:rsidRDefault="00D60C72" w:rsidP="004414A7">
      <w:pPr>
        <w:tabs>
          <w:tab w:val="left" w:pos="8931"/>
        </w:tabs>
        <w:ind w:left="567"/>
        <w:jc w:val="both"/>
        <w:rPr>
          <w:rFonts w:ascii="Arial" w:hAnsi="Arial" w:cs="Arial"/>
          <w:sz w:val="26"/>
          <w:szCs w:val="26"/>
        </w:rPr>
      </w:pPr>
      <w:r>
        <w:rPr>
          <w:rFonts w:ascii="Arial" w:hAnsi="Arial" w:cs="Arial"/>
          <w:sz w:val="26"/>
          <w:szCs w:val="26"/>
        </w:rPr>
        <w:t xml:space="preserve">Lo anterior es así, </w:t>
      </w:r>
      <w:r w:rsidR="00C44DF6">
        <w:rPr>
          <w:rFonts w:ascii="Arial" w:hAnsi="Arial" w:cs="Arial"/>
          <w:sz w:val="26"/>
          <w:szCs w:val="26"/>
        </w:rPr>
        <w:t xml:space="preserve">porque los conceptos </w:t>
      </w:r>
      <w:r w:rsidR="00C44DF6" w:rsidRPr="00C44DF6">
        <w:rPr>
          <w:rFonts w:ascii="Arial" w:hAnsi="Arial" w:cs="Arial"/>
          <w:i/>
          <w:iCs/>
          <w:sz w:val="26"/>
          <w:szCs w:val="26"/>
        </w:rPr>
        <w:t>social</w:t>
      </w:r>
      <w:r w:rsidR="00C44DF6">
        <w:rPr>
          <w:rFonts w:ascii="Arial" w:hAnsi="Arial" w:cs="Arial"/>
          <w:sz w:val="26"/>
          <w:szCs w:val="26"/>
        </w:rPr>
        <w:t xml:space="preserve"> y </w:t>
      </w:r>
      <w:r w:rsidR="00C44DF6" w:rsidRPr="00C44DF6">
        <w:rPr>
          <w:rFonts w:ascii="Arial" w:hAnsi="Arial" w:cs="Arial"/>
          <w:i/>
          <w:iCs/>
          <w:sz w:val="26"/>
          <w:szCs w:val="26"/>
        </w:rPr>
        <w:t>ciudadano</w:t>
      </w:r>
      <w:r w:rsidR="00C44DF6">
        <w:rPr>
          <w:rFonts w:ascii="Arial" w:hAnsi="Arial" w:cs="Arial"/>
          <w:sz w:val="26"/>
          <w:szCs w:val="26"/>
        </w:rPr>
        <w:t>, como pertenecientes del título del texto normativo en estudio resultan redundantes.</w:t>
      </w:r>
    </w:p>
    <w:p w14:paraId="2D769A70" w14:textId="77777777" w:rsidR="00DE68E3" w:rsidRDefault="00DE68E3" w:rsidP="00D60C72">
      <w:pPr>
        <w:tabs>
          <w:tab w:val="left" w:pos="8931"/>
        </w:tabs>
        <w:jc w:val="both"/>
        <w:rPr>
          <w:rFonts w:ascii="Arial" w:hAnsi="Arial" w:cs="Arial"/>
          <w:sz w:val="26"/>
          <w:szCs w:val="26"/>
        </w:rPr>
      </w:pPr>
    </w:p>
    <w:p w14:paraId="74D2ECFD" w14:textId="555EBB18" w:rsidR="00DB7A77" w:rsidRDefault="00DB7A77" w:rsidP="00D60C72">
      <w:pPr>
        <w:tabs>
          <w:tab w:val="left" w:pos="8931"/>
        </w:tabs>
        <w:ind w:left="567"/>
        <w:jc w:val="both"/>
        <w:rPr>
          <w:rFonts w:ascii="Arial" w:hAnsi="Arial" w:cs="Arial"/>
          <w:sz w:val="26"/>
          <w:szCs w:val="26"/>
          <w:lang w:val="es-ES"/>
        </w:rPr>
      </w:pPr>
      <w:r>
        <w:rPr>
          <w:rFonts w:ascii="Arial" w:hAnsi="Arial" w:cs="Arial"/>
          <w:sz w:val="26"/>
          <w:szCs w:val="26"/>
          <w:lang w:val="es-ES"/>
        </w:rPr>
        <w:t xml:space="preserve">En tal virtud, </w:t>
      </w:r>
      <w:r w:rsidRPr="00B61762">
        <w:rPr>
          <w:rFonts w:ascii="Arial" w:hAnsi="Arial" w:cs="Arial"/>
          <w:sz w:val="26"/>
          <w:szCs w:val="26"/>
          <w:lang w:val="es-ES"/>
        </w:rPr>
        <w:t xml:space="preserve">en términos de las atribuciones conferidas a esta autoridad de mejora regulatoria </w:t>
      </w:r>
      <w:r w:rsidR="009E358E">
        <w:rPr>
          <w:rFonts w:ascii="Arial" w:hAnsi="Arial" w:cs="Arial"/>
          <w:sz w:val="26"/>
          <w:szCs w:val="26"/>
          <w:lang w:val="es-ES"/>
        </w:rPr>
        <w:t>por</w:t>
      </w:r>
      <w:r w:rsidRPr="00B61762">
        <w:rPr>
          <w:rFonts w:ascii="Arial" w:hAnsi="Arial" w:cs="Arial"/>
          <w:sz w:val="26"/>
          <w:szCs w:val="26"/>
          <w:lang w:val="es-ES"/>
        </w:rPr>
        <w:t xml:space="preserve"> los artículos 74, párrafo cuarto, de la Ley de Mejora Regulatoria para el Estado de Morelos y sus Municipios</w:t>
      </w:r>
      <w:r w:rsidRPr="00B61762">
        <w:rPr>
          <w:rStyle w:val="Refdenotaalpie"/>
          <w:rFonts w:ascii="Arial" w:hAnsi="Arial" w:cs="Arial"/>
          <w:sz w:val="26"/>
          <w:szCs w:val="26"/>
          <w:lang w:val="es-ES"/>
        </w:rPr>
        <w:footnoteReference w:id="3"/>
      </w:r>
      <w:r w:rsidRPr="00B61762">
        <w:rPr>
          <w:rFonts w:ascii="Arial" w:hAnsi="Arial" w:cs="Arial"/>
          <w:sz w:val="26"/>
          <w:szCs w:val="26"/>
          <w:lang w:val="es-ES"/>
        </w:rPr>
        <w:t xml:space="preserve"> y 34, fracciones II, III y IX, del Reglamento de Mejora Regulatoria del Municipio de Cuernavaca,</w:t>
      </w:r>
      <w:r w:rsidRPr="00B61762">
        <w:rPr>
          <w:rStyle w:val="Refdenotaalpie"/>
          <w:rFonts w:ascii="Arial" w:hAnsi="Arial" w:cs="Arial"/>
          <w:sz w:val="26"/>
          <w:szCs w:val="26"/>
          <w:lang w:val="es-ES"/>
        </w:rPr>
        <w:footnoteReference w:id="4"/>
      </w:r>
      <w:r w:rsidRPr="00B61762">
        <w:rPr>
          <w:rFonts w:ascii="Arial" w:hAnsi="Arial" w:cs="Arial"/>
          <w:sz w:val="26"/>
          <w:szCs w:val="26"/>
          <w:lang w:val="es-ES"/>
        </w:rPr>
        <w:t xml:space="preserve"> resulta necesaria una adecuación a la propuesta en estudio, con el fin de dar claridad</w:t>
      </w:r>
      <w:r w:rsidR="009E358E">
        <w:rPr>
          <w:rFonts w:ascii="Arial" w:hAnsi="Arial" w:cs="Arial"/>
          <w:sz w:val="26"/>
          <w:szCs w:val="26"/>
          <w:lang w:val="es-ES"/>
        </w:rPr>
        <w:t xml:space="preserve">, eficacia y conveniencia </w:t>
      </w:r>
      <w:r w:rsidRPr="00B61762">
        <w:rPr>
          <w:rFonts w:ascii="Arial" w:hAnsi="Arial" w:cs="Arial"/>
          <w:sz w:val="26"/>
          <w:szCs w:val="26"/>
          <w:lang w:val="es-ES"/>
        </w:rPr>
        <w:t>a la norma</w:t>
      </w:r>
      <w:r>
        <w:rPr>
          <w:rFonts w:ascii="Arial" w:hAnsi="Arial" w:cs="Arial"/>
          <w:sz w:val="26"/>
          <w:szCs w:val="26"/>
          <w:lang w:val="es-ES"/>
        </w:rPr>
        <w:t xml:space="preserve"> </w:t>
      </w:r>
      <w:r w:rsidRPr="00B61762">
        <w:rPr>
          <w:rFonts w:ascii="Arial" w:hAnsi="Arial" w:cs="Arial"/>
          <w:sz w:val="26"/>
          <w:szCs w:val="26"/>
          <w:lang w:val="es-ES"/>
        </w:rPr>
        <w:t>y cumplir con lo establecido en la Estrategia Nacional de Mejora Regulatoria</w:t>
      </w:r>
      <w:r w:rsidR="00B50316">
        <w:rPr>
          <w:rFonts w:ascii="Arial" w:hAnsi="Arial" w:cs="Arial"/>
          <w:sz w:val="26"/>
          <w:szCs w:val="26"/>
          <w:lang w:val="es-ES"/>
        </w:rPr>
        <w:t>, la Ley General de Mejora Regulatoria y la propia del Estado</w:t>
      </w:r>
      <w:r>
        <w:rPr>
          <w:rFonts w:ascii="Arial" w:hAnsi="Arial" w:cs="Arial"/>
          <w:sz w:val="26"/>
          <w:szCs w:val="26"/>
          <w:lang w:val="es-ES"/>
        </w:rPr>
        <w:t xml:space="preserve">, </w:t>
      </w:r>
      <w:r w:rsidR="00D60C72">
        <w:rPr>
          <w:rFonts w:ascii="Arial" w:hAnsi="Arial" w:cs="Arial"/>
          <w:sz w:val="26"/>
          <w:szCs w:val="26"/>
          <w:lang w:val="es-ES"/>
        </w:rPr>
        <w:t>atendiendo las siguientes observaciones:</w:t>
      </w:r>
    </w:p>
    <w:p w14:paraId="488BD5F0" w14:textId="379B4702" w:rsidR="004414A7" w:rsidRDefault="004414A7" w:rsidP="00D60C72">
      <w:pPr>
        <w:tabs>
          <w:tab w:val="left" w:pos="8931"/>
        </w:tabs>
        <w:ind w:left="567"/>
        <w:jc w:val="both"/>
        <w:rPr>
          <w:rFonts w:ascii="Arial" w:hAnsi="Arial" w:cs="Arial"/>
          <w:sz w:val="26"/>
          <w:szCs w:val="26"/>
          <w:lang w:val="es-ES"/>
        </w:rPr>
      </w:pPr>
    </w:p>
    <w:p w14:paraId="5AFFE401" w14:textId="221C1680" w:rsidR="004414A7" w:rsidRPr="004414A7" w:rsidRDefault="004414A7" w:rsidP="004414A7">
      <w:pPr>
        <w:pStyle w:val="Prrafodelista"/>
        <w:numPr>
          <w:ilvl w:val="0"/>
          <w:numId w:val="4"/>
        </w:numPr>
        <w:tabs>
          <w:tab w:val="left" w:pos="8931"/>
        </w:tabs>
        <w:jc w:val="both"/>
        <w:rPr>
          <w:rFonts w:ascii="Arial" w:hAnsi="Arial" w:cs="Arial"/>
          <w:b/>
          <w:bCs/>
          <w:sz w:val="26"/>
          <w:szCs w:val="26"/>
          <w:lang w:val="es-ES"/>
        </w:rPr>
      </w:pPr>
      <w:r w:rsidRPr="004414A7">
        <w:rPr>
          <w:rFonts w:ascii="Arial" w:hAnsi="Arial" w:cs="Arial"/>
          <w:b/>
          <w:bCs/>
          <w:sz w:val="26"/>
          <w:szCs w:val="26"/>
          <w:lang w:val="es-ES"/>
        </w:rPr>
        <w:lastRenderedPageBreak/>
        <w:t>CONSIDERACIONES PREVIAS</w:t>
      </w:r>
    </w:p>
    <w:p w14:paraId="097A6397" w14:textId="6658BEF7" w:rsidR="00D60C72" w:rsidRDefault="00D60C72" w:rsidP="00D60C72">
      <w:pPr>
        <w:tabs>
          <w:tab w:val="left" w:pos="8931"/>
        </w:tabs>
        <w:ind w:left="567"/>
        <w:jc w:val="both"/>
        <w:rPr>
          <w:rFonts w:ascii="Arial" w:hAnsi="Arial" w:cs="Arial"/>
          <w:sz w:val="26"/>
          <w:szCs w:val="26"/>
          <w:lang w:val="es-ES"/>
        </w:rPr>
      </w:pPr>
    </w:p>
    <w:p w14:paraId="75A2F95F" w14:textId="4162345B" w:rsidR="004414A7" w:rsidRDefault="004414A7" w:rsidP="00D60C72">
      <w:pPr>
        <w:tabs>
          <w:tab w:val="left" w:pos="8931"/>
        </w:tabs>
        <w:ind w:left="567"/>
        <w:jc w:val="both"/>
        <w:rPr>
          <w:rFonts w:ascii="Arial" w:hAnsi="Arial" w:cs="Arial"/>
          <w:sz w:val="26"/>
          <w:szCs w:val="26"/>
          <w:lang w:val="es-ES"/>
        </w:rPr>
      </w:pPr>
      <w:r w:rsidRPr="00AC2DFA">
        <w:rPr>
          <w:rFonts w:ascii="Arial" w:hAnsi="Arial" w:cs="Arial"/>
          <w:i/>
          <w:iCs/>
          <w:sz w:val="26"/>
          <w:szCs w:val="26"/>
          <w:lang w:val="es-ES"/>
        </w:rPr>
        <w:t>Análisis sobre la constitucionalidad del Reglamento y su correspondencia con el marco normativo vigente</w:t>
      </w:r>
      <w:r>
        <w:rPr>
          <w:rFonts w:ascii="Arial" w:hAnsi="Arial" w:cs="Arial"/>
          <w:sz w:val="26"/>
          <w:szCs w:val="26"/>
          <w:lang w:val="es-ES"/>
        </w:rPr>
        <w:t>.</w:t>
      </w:r>
    </w:p>
    <w:p w14:paraId="1C3A21B5" w14:textId="7D2BE475" w:rsidR="004414A7" w:rsidRDefault="004414A7" w:rsidP="00D60C72">
      <w:pPr>
        <w:tabs>
          <w:tab w:val="left" w:pos="8931"/>
        </w:tabs>
        <w:ind w:left="567"/>
        <w:jc w:val="both"/>
        <w:rPr>
          <w:rFonts w:ascii="Arial" w:hAnsi="Arial" w:cs="Arial"/>
          <w:sz w:val="26"/>
          <w:szCs w:val="26"/>
          <w:lang w:val="es-ES"/>
        </w:rPr>
      </w:pPr>
    </w:p>
    <w:p w14:paraId="17E85631" w14:textId="05E595A7" w:rsidR="004414A7" w:rsidRDefault="004414A7" w:rsidP="00D60C72">
      <w:pPr>
        <w:tabs>
          <w:tab w:val="left" w:pos="8931"/>
        </w:tabs>
        <w:ind w:left="567"/>
        <w:jc w:val="both"/>
        <w:rPr>
          <w:rFonts w:ascii="Arial" w:hAnsi="Arial" w:cs="Arial"/>
          <w:sz w:val="26"/>
          <w:szCs w:val="26"/>
          <w:lang w:val="es-MX"/>
        </w:rPr>
      </w:pPr>
      <w:r>
        <w:rPr>
          <w:rFonts w:ascii="Arial" w:hAnsi="Arial" w:cs="Arial"/>
          <w:sz w:val="26"/>
          <w:szCs w:val="26"/>
          <w:lang w:val="es-ES"/>
        </w:rPr>
        <w:t xml:space="preserve">La autonomía reglamentaria contemplada en el artículo 115 de la Constitución Federal establece que los Municipios pueden normar dentro de sus jurisdicciones las normas para el orden social, </w:t>
      </w:r>
      <w:r w:rsidRPr="004414A7">
        <w:rPr>
          <w:rFonts w:ascii="Arial" w:hAnsi="Arial" w:cs="Arial"/>
          <w:sz w:val="26"/>
          <w:szCs w:val="26"/>
          <w:lang w:val="es-MX"/>
        </w:rPr>
        <w:t>de conformidad con las leyes estatales que se expidan al respecto</w:t>
      </w:r>
      <w:r>
        <w:rPr>
          <w:rFonts w:ascii="Arial" w:hAnsi="Arial" w:cs="Arial"/>
          <w:sz w:val="26"/>
          <w:szCs w:val="26"/>
          <w:lang w:val="es-MX"/>
        </w:rPr>
        <w:t>.</w:t>
      </w:r>
    </w:p>
    <w:p w14:paraId="53AADA2B" w14:textId="5C808DCB" w:rsidR="004414A7" w:rsidRDefault="004414A7" w:rsidP="00D60C72">
      <w:pPr>
        <w:tabs>
          <w:tab w:val="left" w:pos="8931"/>
        </w:tabs>
        <w:ind w:left="567"/>
        <w:jc w:val="both"/>
        <w:rPr>
          <w:rFonts w:ascii="Arial" w:hAnsi="Arial" w:cs="Arial"/>
          <w:sz w:val="26"/>
          <w:szCs w:val="26"/>
          <w:lang w:val="es-MX"/>
        </w:rPr>
      </w:pPr>
    </w:p>
    <w:p w14:paraId="4ACC8D58" w14:textId="2E3C6D66" w:rsidR="004414A7" w:rsidRDefault="004414A7" w:rsidP="00D60C72">
      <w:pPr>
        <w:tabs>
          <w:tab w:val="left" w:pos="8931"/>
        </w:tabs>
        <w:ind w:left="567"/>
        <w:jc w:val="both"/>
        <w:rPr>
          <w:rFonts w:ascii="Arial" w:hAnsi="Arial" w:cs="Arial"/>
          <w:sz w:val="26"/>
          <w:szCs w:val="26"/>
        </w:rPr>
      </w:pPr>
      <w:r>
        <w:rPr>
          <w:rFonts w:ascii="Arial" w:hAnsi="Arial" w:cs="Arial"/>
          <w:sz w:val="26"/>
          <w:szCs w:val="26"/>
          <w:lang w:val="es-MX"/>
        </w:rPr>
        <w:t xml:space="preserve">Al respecto, </w:t>
      </w:r>
      <w:r w:rsidR="00AC2DFA">
        <w:rPr>
          <w:rFonts w:ascii="Arial" w:hAnsi="Arial" w:cs="Arial"/>
          <w:sz w:val="26"/>
          <w:szCs w:val="26"/>
          <w:lang w:val="es-MX"/>
        </w:rPr>
        <w:t xml:space="preserve">es la </w:t>
      </w:r>
      <w:r w:rsidR="00AC2DFA" w:rsidRPr="00AC2DFA">
        <w:rPr>
          <w:rFonts w:ascii="Arial" w:hAnsi="Arial" w:cs="Arial"/>
          <w:sz w:val="26"/>
          <w:szCs w:val="26"/>
        </w:rPr>
        <w:t>Ley de Cultura Cívica del Estado de Morelos</w:t>
      </w:r>
      <w:r w:rsidR="00AC2DFA">
        <w:rPr>
          <w:rFonts w:ascii="Arial" w:hAnsi="Arial" w:cs="Arial"/>
          <w:sz w:val="26"/>
          <w:szCs w:val="26"/>
        </w:rPr>
        <w:t xml:space="preserve"> de donde emana el ordenamiento en estudio, por ello, este Reglamento debe corresponder a la Ley antes mencionada.</w:t>
      </w:r>
    </w:p>
    <w:p w14:paraId="5F3DA830" w14:textId="5B6A13E0" w:rsidR="009E358E" w:rsidRDefault="009E358E" w:rsidP="00D60C72">
      <w:pPr>
        <w:tabs>
          <w:tab w:val="left" w:pos="8931"/>
        </w:tabs>
        <w:ind w:left="567"/>
        <w:jc w:val="both"/>
        <w:rPr>
          <w:rFonts w:ascii="Arial" w:hAnsi="Arial" w:cs="Arial"/>
          <w:sz w:val="26"/>
          <w:szCs w:val="26"/>
        </w:rPr>
      </w:pPr>
    </w:p>
    <w:p w14:paraId="7BCC0841" w14:textId="086EFE2A" w:rsidR="009E358E" w:rsidRDefault="009E358E" w:rsidP="009E358E">
      <w:pPr>
        <w:tabs>
          <w:tab w:val="left" w:pos="8931"/>
        </w:tabs>
        <w:ind w:left="567"/>
        <w:jc w:val="both"/>
        <w:rPr>
          <w:rFonts w:ascii="Arial" w:hAnsi="Arial" w:cs="Arial"/>
          <w:sz w:val="26"/>
          <w:szCs w:val="26"/>
        </w:rPr>
      </w:pPr>
      <w:r>
        <w:rPr>
          <w:rFonts w:ascii="Arial" w:hAnsi="Arial" w:cs="Arial"/>
          <w:sz w:val="26"/>
          <w:szCs w:val="26"/>
        </w:rPr>
        <w:t>En ese sentido, las primeras disposiciones que resultan inconstitucionales son l</w:t>
      </w:r>
      <w:r w:rsidR="008C7B21">
        <w:rPr>
          <w:rFonts w:ascii="Arial" w:hAnsi="Arial" w:cs="Arial"/>
          <w:sz w:val="26"/>
          <w:szCs w:val="26"/>
        </w:rPr>
        <w:t xml:space="preserve">as </w:t>
      </w:r>
      <w:r>
        <w:rPr>
          <w:rFonts w:ascii="Arial" w:hAnsi="Arial" w:cs="Arial"/>
          <w:sz w:val="26"/>
          <w:szCs w:val="26"/>
        </w:rPr>
        <w:t>que establecen los siguientes artículos:</w:t>
      </w:r>
    </w:p>
    <w:p w14:paraId="413AE070" w14:textId="0AC1053A" w:rsidR="009E358E" w:rsidRDefault="009E358E" w:rsidP="009E358E">
      <w:pPr>
        <w:tabs>
          <w:tab w:val="left" w:pos="8931"/>
        </w:tabs>
        <w:ind w:left="567"/>
        <w:jc w:val="both"/>
        <w:rPr>
          <w:rFonts w:ascii="Arial" w:hAnsi="Arial" w:cs="Arial"/>
          <w:sz w:val="26"/>
          <w:szCs w:val="26"/>
        </w:rPr>
      </w:pPr>
    </w:p>
    <w:p w14:paraId="29F24210" w14:textId="25193C6B" w:rsidR="009E358E" w:rsidRPr="009E358E" w:rsidRDefault="009E358E" w:rsidP="009E358E">
      <w:pPr>
        <w:pStyle w:val="Prrafodelista"/>
        <w:numPr>
          <w:ilvl w:val="0"/>
          <w:numId w:val="5"/>
        </w:numPr>
        <w:tabs>
          <w:tab w:val="left" w:pos="8931"/>
        </w:tabs>
        <w:jc w:val="both"/>
        <w:rPr>
          <w:rFonts w:ascii="Arial" w:hAnsi="Arial" w:cs="Arial"/>
          <w:sz w:val="26"/>
          <w:szCs w:val="26"/>
        </w:rPr>
      </w:pPr>
      <w:r w:rsidRPr="009E358E">
        <w:rPr>
          <w:rFonts w:ascii="Arial" w:hAnsi="Arial" w:cs="Arial"/>
          <w:sz w:val="26"/>
          <w:szCs w:val="26"/>
        </w:rPr>
        <w:t>19</w:t>
      </w:r>
      <w:r>
        <w:rPr>
          <w:rFonts w:ascii="Arial" w:hAnsi="Arial" w:cs="Arial"/>
          <w:sz w:val="26"/>
          <w:szCs w:val="26"/>
        </w:rPr>
        <w:t xml:space="preserve"> y 20</w:t>
      </w:r>
      <w:r w:rsidRPr="009E358E">
        <w:rPr>
          <w:rFonts w:ascii="Arial" w:hAnsi="Arial" w:cs="Arial"/>
          <w:sz w:val="26"/>
          <w:szCs w:val="26"/>
        </w:rPr>
        <w:t>, relativo a los requisitos de los Jueces Cívicos</w:t>
      </w:r>
      <w:r>
        <w:rPr>
          <w:rFonts w:ascii="Arial" w:hAnsi="Arial" w:cs="Arial"/>
          <w:sz w:val="26"/>
          <w:szCs w:val="26"/>
        </w:rPr>
        <w:t xml:space="preserve"> y los Secretarios</w:t>
      </w:r>
      <w:r w:rsidRPr="009E358E">
        <w:rPr>
          <w:rFonts w:ascii="Arial" w:hAnsi="Arial" w:cs="Arial"/>
          <w:sz w:val="26"/>
          <w:szCs w:val="26"/>
        </w:rPr>
        <w:t>, en primer lugar, porque establece</w:t>
      </w:r>
      <w:r w:rsidR="008C7B21">
        <w:rPr>
          <w:rFonts w:ascii="Arial" w:hAnsi="Arial" w:cs="Arial"/>
          <w:sz w:val="26"/>
          <w:szCs w:val="26"/>
        </w:rPr>
        <w:t>n</w:t>
      </w:r>
      <w:r w:rsidRPr="009E358E">
        <w:rPr>
          <w:rFonts w:ascii="Arial" w:hAnsi="Arial" w:cs="Arial"/>
          <w:sz w:val="26"/>
          <w:szCs w:val="26"/>
        </w:rPr>
        <w:t xml:space="preserve"> requisitos distintos a los que la propia Ley Estatal requiere que pueden incurrir en un exceso normativo, como </w:t>
      </w:r>
      <w:r w:rsidRPr="003F7806">
        <w:rPr>
          <w:rFonts w:ascii="Arial" w:hAnsi="Arial" w:cs="Arial"/>
          <w:b/>
          <w:bCs/>
          <w:sz w:val="26"/>
          <w:szCs w:val="26"/>
          <w:u w:val="single"/>
        </w:rPr>
        <w:t>vecindad en el municipio</w:t>
      </w:r>
      <w:r w:rsidRPr="009E358E">
        <w:rPr>
          <w:rFonts w:ascii="Arial" w:hAnsi="Arial" w:cs="Arial"/>
          <w:sz w:val="26"/>
          <w:szCs w:val="26"/>
        </w:rPr>
        <w:t xml:space="preserve">, además de que no contempla </w:t>
      </w:r>
      <w:r w:rsidRPr="003F7806">
        <w:rPr>
          <w:rFonts w:ascii="Arial" w:hAnsi="Arial" w:cs="Arial"/>
          <w:b/>
          <w:bCs/>
          <w:sz w:val="26"/>
          <w:szCs w:val="26"/>
          <w:u w:val="single"/>
        </w:rPr>
        <w:t>la edad mínima</w:t>
      </w:r>
      <w:r w:rsidRPr="009E358E">
        <w:rPr>
          <w:rFonts w:ascii="Arial" w:hAnsi="Arial" w:cs="Arial"/>
          <w:b/>
          <w:bCs/>
          <w:sz w:val="26"/>
          <w:szCs w:val="26"/>
        </w:rPr>
        <w:t xml:space="preserve">, como sí lo es la Ley Estatal. </w:t>
      </w:r>
      <w:r w:rsidR="003F7806">
        <w:rPr>
          <w:rFonts w:ascii="Arial" w:hAnsi="Arial" w:cs="Arial"/>
          <w:sz w:val="26"/>
          <w:szCs w:val="26"/>
        </w:rPr>
        <w:t>Además, n</w:t>
      </w:r>
      <w:r w:rsidRPr="009E358E">
        <w:rPr>
          <w:rFonts w:ascii="Arial" w:hAnsi="Arial" w:cs="Arial"/>
          <w:sz w:val="26"/>
          <w:szCs w:val="26"/>
        </w:rPr>
        <w:t xml:space="preserve">o solo vulnera la jerarquía normativa, sino que es violatoria del derecho humano a la </w:t>
      </w:r>
      <w:r w:rsidRPr="009E358E">
        <w:rPr>
          <w:rFonts w:ascii="Arial" w:hAnsi="Arial" w:cs="Arial"/>
          <w:b/>
          <w:bCs/>
          <w:sz w:val="26"/>
          <w:szCs w:val="26"/>
        </w:rPr>
        <w:t>presunción de inocencia</w:t>
      </w:r>
      <w:r w:rsidRPr="009E358E">
        <w:rPr>
          <w:rFonts w:ascii="Arial" w:hAnsi="Arial" w:cs="Arial"/>
          <w:sz w:val="26"/>
          <w:szCs w:val="26"/>
        </w:rPr>
        <w:t>,</w:t>
      </w:r>
      <w:r>
        <w:rPr>
          <w:rFonts w:ascii="Arial" w:hAnsi="Arial" w:cs="Arial"/>
          <w:sz w:val="26"/>
          <w:szCs w:val="26"/>
        </w:rPr>
        <w:t xml:space="preserve"> al pedir como requisito </w:t>
      </w:r>
      <w:r>
        <w:rPr>
          <w:rFonts w:ascii="Arial" w:hAnsi="Arial" w:cs="Arial"/>
          <w:b/>
          <w:bCs/>
          <w:sz w:val="26"/>
          <w:szCs w:val="26"/>
        </w:rPr>
        <w:t>“…</w:t>
      </w:r>
      <w:r w:rsidRPr="009E358E">
        <w:rPr>
          <w:rFonts w:ascii="Arial" w:hAnsi="Arial" w:cs="Arial"/>
          <w:b/>
          <w:bCs/>
          <w:sz w:val="26"/>
          <w:szCs w:val="26"/>
          <w:u w:val="single"/>
        </w:rPr>
        <w:t>no estar sujeto a proceso penal…”</w:t>
      </w:r>
      <w:r w:rsidRPr="009E358E">
        <w:rPr>
          <w:rFonts w:ascii="Arial" w:hAnsi="Arial" w:cs="Arial"/>
          <w:sz w:val="26"/>
          <w:szCs w:val="26"/>
        </w:rPr>
        <w:t xml:space="preserve"> tutelado por los artículos 20, apartado B, de la Constitución Federal y 8.2 de la Convención Americana sobre Derechos Humanos</w:t>
      </w:r>
      <w:r>
        <w:rPr>
          <w:rFonts w:ascii="Arial" w:hAnsi="Arial" w:cs="Arial"/>
          <w:sz w:val="26"/>
          <w:szCs w:val="26"/>
        </w:rPr>
        <w:t xml:space="preserve">, la propia Suprema Corte de Justicia de la Nación ha resuelto diversas acciones de inconstitucionalidad en la que ha determinado invalidar las disposiciones normativas que establezcan este requisito para acceder a un cargo público, como lo es la </w:t>
      </w:r>
      <w:r w:rsidRPr="009E358E">
        <w:rPr>
          <w:rFonts w:ascii="Arial" w:hAnsi="Arial" w:cs="Arial"/>
          <w:sz w:val="26"/>
          <w:szCs w:val="26"/>
          <w:lang w:val="es-ES_tradnl"/>
        </w:rPr>
        <w:t>ACCIÓN DE INCONSTITUCIONALIDAD 106/2019. COMISIÓN NACIONAL DE LOS DERECHOS HUMANOS. 19 DE ABRIL DE 2021</w:t>
      </w:r>
      <w:r>
        <w:rPr>
          <w:rFonts w:ascii="Arial" w:hAnsi="Arial" w:cs="Arial"/>
          <w:sz w:val="26"/>
          <w:szCs w:val="26"/>
          <w:lang w:val="es-ES_tradnl"/>
        </w:rPr>
        <w:t>.</w:t>
      </w:r>
    </w:p>
    <w:p w14:paraId="2D4868EF" w14:textId="46F118F7" w:rsidR="00BA3533" w:rsidRPr="00BA3533" w:rsidRDefault="009E358E" w:rsidP="00BA3533">
      <w:pPr>
        <w:pStyle w:val="Prrafodelista"/>
        <w:numPr>
          <w:ilvl w:val="0"/>
          <w:numId w:val="5"/>
        </w:numPr>
        <w:tabs>
          <w:tab w:val="left" w:pos="8931"/>
        </w:tabs>
        <w:jc w:val="both"/>
        <w:rPr>
          <w:rFonts w:ascii="Arial" w:hAnsi="Arial" w:cs="Arial"/>
          <w:sz w:val="26"/>
          <w:szCs w:val="26"/>
        </w:rPr>
      </w:pPr>
      <w:r>
        <w:rPr>
          <w:rFonts w:ascii="Arial" w:hAnsi="Arial" w:cs="Arial"/>
          <w:sz w:val="26"/>
          <w:szCs w:val="26"/>
          <w:lang w:val="es-ES_tradnl"/>
        </w:rPr>
        <w:lastRenderedPageBreak/>
        <w:t xml:space="preserve">47, relativo </w:t>
      </w:r>
      <w:r w:rsidR="00BA3533">
        <w:rPr>
          <w:rFonts w:ascii="Arial" w:hAnsi="Arial" w:cs="Arial"/>
          <w:sz w:val="26"/>
          <w:szCs w:val="26"/>
          <w:lang w:val="es-ES_tradnl"/>
        </w:rPr>
        <w:t xml:space="preserve">a los infractores que acrediten domicilio en el municipio pueden solicitar el beneficio de actividades de apoyo a la comunidad, toda vez que resulta violatoria al artículo 1o y 21, párrafo cuarto, de la Constitución Federal, en razón de que el artículo 31 de la Ley Estatal, establece que: </w:t>
      </w:r>
      <w:r w:rsidR="00BA3533" w:rsidRPr="00BA3533">
        <w:rPr>
          <w:rFonts w:ascii="Arial" w:hAnsi="Arial" w:cs="Arial"/>
          <w:i/>
          <w:iCs/>
          <w:sz w:val="26"/>
          <w:szCs w:val="26"/>
        </w:rPr>
        <w:t xml:space="preserve">Cuando el infractor acredite de manera fehaciente su identidad y domicilio </w:t>
      </w:r>
      <w:r w:rsidR="00BA3533" w:rsidRPr="00BA3533">
        <w:rPr>
          <w:rFonts w:ascii="Arial" w:hAnsi="Arial" w:cs="Arial"/>
          <w:b/>
          <w:bCs/>
          <w:i/>
          <w:iCs/>
          <w:sz w:val="26"/>
          <w:szCs w:val="26"/>
        </w:rPr>
        <w:t>dentro del Estado</w:t>
      </w:r>
      <w:r w:rsidR="00BA3533" w:rsidRPr="00BA3533">
        <w:rPr>
          <w:rFonts w:ascii="Arial" w:hAnsi="Arial" w:cs="Arial"/>
          <w:i/>
          <w:iCs/>
          <w:sz w:val="26"/>
          <w:szCs w:val="26"/>
        </w:rPr>
        <w:t>, podrá solicitar al Juez le sea permitido realizar actividades de apoyo a la comunidad a efecto de no cubrir la multa o el arresto que se le hubiese impuesto, excepto en los casos de reincidencia</w:t>
      </w:r>
      <w:r w:rsidR="00BA3533">
        <w:rPr>
          <w:rFonts w:ascii="Arial" w:hAnsi="Arial" w:cs="Arial"/>
          <w:sz w:val="26"/>
          <w:szCs w:val="26"/>
        </w:rPr>
        <w:t>, de ahí la inconstitucionalidad al hacer un trato diferenciado.</w:t>
      </w:r>
    </w:p>
    <w:p w14:paraId="0627C26F" w14:textId="4795ECB8" w:rsidR="008E2751" w:rsidRPr="008E2751" w:rsidRDefault="00BA3533" w:rsidP="008E2751">
      <w:pPr>
        <w:pStyle w:val="Prrafodelista"/>
        <w:numPr>
          <w:ilvl w:val="0"/>
          <w:numId w:val="5"/>
        </w:numPr>
        <w:tabs>
          <w:tab w:val="left" w:pos="8931"/>
        </w:tabs>
        <w:jc w:val="both"/>
        <w:rPr>
          <w:rFonts w:ascii="Arial" w:hAnsi="Arial" w:cs="Arial"/>
          <w:sz w:val="26"/>
          <w:szCs w:val="26"/>
        </w:rPr>
      </w:pPr>
      <w:r>
        <w:rPr>
          <w:rFonts w:ascii="Arial" w:hAnsi="Arial" w:cs="Arial"/>
          <w:sz w:val="26"/>
          <w:szCs w:val="26"/>
          <w:lang w:val="es-ES_tradnl"/>
        </w:rPr>
        <w:t xml:space="preserve"> 90, relativo al último párrafo que establece </w:t>
      </w:r>
      <w:r w:rsidRPr="00BA3533">
        <w:rPr>
          <w:rFonts w:ascii="Arial" w:hAnsi="Arial" w:cs="Arial"/>
          <w:i/>
          <w:iCs/>
          <w:sz w:val="26"/>
          <w:szCs w:val="26"/>
          <w:lang w:val="es-ES_tradnl"/>
        </w:rPr>
        <w:t>“…De comprobarse que es menor de catorce años, se decretará a través de la resolución correspondiente la inmediata libertad…”</w:t>
      </w:r>
      <w:r>
        <w:rPr>
          <w:rFonts w:ascii="Arial" w:hAnsi="Arial" w:cs="Arial"/>
          <w:sz w:val="26"/>
          <w:szCs w:val="26"/>
          <w:lang w:val="es-ES_tradnl"/>
        </w:rPr>
        <w:t xml:space="preserve">, deviene en inconstitucional porque hace un trato diferenciado con las personas menores a catorce años, ahora, se pone de relieve que la Ley Estatal, en todo a lo relativo a las personas menores de 18 años las contempla como </w:t>
      </w:r>
      <w:r>
        <w:rPr>
          <w:rFonts w:ascii="Arial" w:hAnsi="Arial" w:cs="Arial"/>
          <w:b/>
          <w:bCs/>
          <w:sz w:val="26"/>
          <w:szCs w:val="26"/>
          <w:lang w:val="es-ES_tradnl"/>
        </w:rPr>
        <w:t xml:space="preserve">”niñas, niños y adolescentes” en pleno respeto a los términos que contemplados en la </w:t>
      </w:r>
      <w:r w:rsidRPr="00BA3533">
        <w:rPr>
          <w:rFonts w:ascii="Arial" w:hAnsi="Arial" w:cs="Arial"/>
          <w:b/>
          <w:bCs/>
          <w:sz w:val="26"/>
          <w:szCs w:val="26"/>
          <w:lang w:val="es-ES_tradnl"/>
        </w:rPr>
        <w:t>Ley General de los Derechos de las Niñas, Niños y Adolescentes</w:t>
      </w:r>
      <w:r>
        <w:rPr>
          <w:rFonts w:ascii="Arial" w:hAnsi="Arial" w:cs="Arial"/>
          <w:sz w:val="26"/>
          <w:szCs w:val="26"/>
          <w:lang w:val="es-ES_tradnl"/>
        </w:rPr>
        <w:t xml:space="preserve">, misma que en su artículo 5 establece que </w:t>
      </w:r>
      <w:r w:rsidRPr="003F7806">
        <w:rPr>
          <w:rFonts w:ascii="Arial" w:hAnsi="Arial" w:cs="Arial"/>
          <w:b/>
          <w:bCs/>
          <w:i/>
          <w:iCs/>
          <w:sz w:val="26"/>
          <w:szCs w:val="26"/>
          <w:u w:val="single"/>
          <w:lang w:val="es-ES_tradnl"/>
        </w:rPr>
        <w:t>son niñas y niños los menores de doce años y adolescentes de entre doce años cumplidos y menos de dieciocho años de edad</w:t>
      </w:r>
      <w:r w:rsidR="003F7806" w:rsidRPr="003F7806">
        <w:rPr>
          <w:rFonts w:ascii="Arial" w:hAnsi="Arial" w:cs="Arial"/>
          <w:b/>
          <w:bCs/>
          <w:i/>
          <w:iCs/>
          <w:sz w:val="26"/>
          <w:szCs w:val="26"/>
          <w:u w:val="single"/>
          <w:lang w:val="es-ES_tradnl"/>
        </w:rPr>
        <w:t>. Para efectos de los tratados internacionales y la mayoría de edad, son niños los menores de dieciocho años de edad</w:t>
      </w:r>
      <w:r w:rsidR="003F7806">
        <w:rPr>
          <w:rFonts w:ascii="Arial" w:hAnsi="Arial" w:cs="Arial"/>
          <w:sz w:val="26"/>
          <w:szCs w:val="26"/>
          <w:lang w:val="es-ES_tradnl"/>
        </w:rPr>
        <w:t>, por ello, al contemplar una edad de 14 años resulta inconstitucional.</w:t>
      </w:r>
    </w:p>
    <w:p w14:paraId="2F862DF4" w14:textId="5314234B" w:rsidR="00387382" w:rsidRPr="00BA3533" w:rsidRDefault="00387382" w:rsidP="009E358E">
      <w:pPr>
        <w:pStyle w:val="Prrafodelista"/>
        <w:numPr>
          <w:ilvl w:val="0"/>
          <w:numId w:val="5"/>
        </w:numPr>
        <w:tabs>
          <w:tab w:val="left" w:pos="8931"/>
        </w:tabs>
        <w:jc w:val="both"/>
        <w:rPr>
          <w:rFonts w:ascii="Arial" w:hAnsi="Arial" w:cs="Arial"/>
          <w:sz w:val="26"/>
          <w:szCs w:val="26"/>
        </w:rPr>
      </w:pPr>
      <w:r>
        <w:rPr>
          <w:rFonts w:ascii="Arial" w:hAnsi="Arial" w:cs="Arial"/>
          <w:sz w:val="26"/>
          <w:szCs w:val="26"/>
        </w:rPr>
        <w:t>101, relativo a la detención y presentación del probable infractor ante el juez, toda vez que no habla sobre el registro inmediato, el cual debe ser acorde al artículo 16 de la Constitución Federal y 40, fracción XIX, de la Ley General del Sistema Nacional de Seguridad Pública, sin ser obstáculo que contraviene el artículo 66 de la Ley Estatal.</w:t>
      </w:r>
    </w:p>
    <w:p w14:paraId="3BFA6F02" w14:textId="77777777" w:rsidR="00BA3533" w:rsidRPr="003F7806" w:rsidRDefault="00BA3533" w:rsidP="003F7806">
      <w:pPr>
        <w:tabs>
          <w:tab w:val="left" w:pos="8931"/>
        </w:tabs>
        <w:jc w:val="both"/>
        <w:rPr>
          <w:rFonts w:ascii="Arial" w:hAnsi="Arial" w:cs="Arial"/>
          <w:sz w:val="26"/>
          <w:szCs w:val="26"/>
        </w:rPr>
      </w:pPr>
    </w:p>
    <w:p w14:paraId="767CDA3C" w14:textId="61236898" w:rsidR="00AC2DFA" w:rsidRDefault="003F7806" w:rsidP="00D60C72">
      <w:pPr>
        <w:tabs>
          <w:tab w:val="left" w:pos="8931"/>
        </w:tabs>
        <w:ind w:left="567"/>
        <w:jc w:val="both"/>
        <w:rPr>
          <w:rFonts w:ascii="Arial" w:hAnsi="Arial" w:cs="Arial"/>
          <w:sz w:val="26"/>
          <w:szCs w:val="26"/>
        </w:rPr>
      </w:pPr>
      <w:r>
        <w:rPr>
          <w:rFonts w:ascii="Arial" w:hAnsi="Arial" w:cs="Arial"/>
          <w:sz w:val="26"/>
          <w:szCs w:val="26"/>
        </w:rPr>
        <w:lastRenderedPageBreak/>
        <w:t xml:space="preserve">Ahora bien, se detectó una posible antinomia en lo dispuesto por el artículo 13, fracción </w:t>
      </w:r>
      <w:r w:rsidR="009D6F03">
        <w:rPr>
          <w:rFonts w:ascii="Arial" w:hAnsi="Arial" w:cs="Arial"/>
          <w:sz w:val="26"/>
          <w:szCs w:val="26"/>
        </w:rPr>
        <w:t>V, del Reglamento en estudio, al establecer que “…</w:t>
      </w:r>
      <w:r w:rsidR="009D6F03" w:rsidRPr="009D6F03">
        <w:rPr>
          <w:rFonts w:ascii="Arial" w:hAnsi="Arial" w:cs="Arial"/>
          <w:sz w:val="26"/>
          <w:szCs w:val="26"/>
        </w:rPr>
        <w:t>Cuando los conflictos deriven en hechos constitutivos de violencia intrafamiliar, se regirán conforme al presente Reglamento</w:t>
      </w:r>
      <w:r w:rsidR="009D6F03">
        <w:rPr>
          <w:rFonts w:ascii="Arial" w:hAnsi="Arial" w:cs="Arial"/>
          <w:sz w:val="26"/>
          <w:szCs w:val="26"/>
        </w:rPr>
        <w:t xml:space="preserve">…” lo anterior es así, puesto que la violencia intrafamiliar es un delito perseguido de oficio, contemplado en el artículo 202 Bis del Código Penal para el Estado de Morelos, Código que no obedece un trato especial que pudiera regular el Reglamento en estudio, de ahí su antinomia. </w:t>
      </w:r>
    </w:p>
    <w:p w14:paraId="10DF9591" w14:textId="77777777" w:rsidR="003F7806" w:rsidRDefault="003F7806" w:rsidP="00D60C72">
      <w:pPr>
        <w:tabs>
          <w:tab w:val="left" w:pos="8931"/>
        </w:tabs>
        <w:ind w:left="567"/>
        <w:jc w:val="both"/>
        <w:rPr>
          <w:rFonts w:ascii="Arial" w:hAnsi="Arial" w:cs="Arial"/>
          <w:sz w:val="26"/>
          <w:szCs w:val="26"/>
        </w:rPr>
      </w:pPr>
    </w:p>
    <w:p w14:paraId="0EC0384F" w14:textId="012CA636" w:rsidR="00AC2DFA" w:rsidRPr="00AC2DFA" w:rsidRDefault="00AC2DFA" w:rsidP="00AC2DFA">
      <w:pPr>
        <w:pStyle w:val="Prrafodelista"/>
        <w:numPr>
          <w:ilvl w:val="0"/>
          <w:numId w:val="4"/>
        </w:numPr>
        <w:tabs>
          <w:tab w:val="left" w:pos="8931"/>
        </w:tabs>
        <w:jc w:val="both"/>
        <w:rPr>
          <w:rFonts w:ascii="Arial" w:hAnsi="Arial" w:cs="Arial"/>
          <w:b/>
          <w:bCs/>
          <w:sz w:val="26"/>
          <w:szCs w:val="26"/>
        </w:rPr>
      </w:pPr>
      <w:r w:rsidRPr="00AC2DFA">
        <w:rPr>
          <w:rFonts w:ascii="Arial" w:hAnsi="Arial" w:cs="Arial"/>
          <w:b/>
          <w:bCs/>
          <w:sz w:val="26"/>
          <w:szCs w:val="26"/>
        </w:rPr>
        <w:t>TÉCNICA LEGISLATIVA MATERIAL</w:t>
      </w:r>
    </w:p>
    <w:p w14:paraId="4D634AC7" w14:textId="4775F1A7" w:rsidR="00AC2DFA" w:rsidRDefault="00AC2DFA" w:rsidP="00D60C72">
      <w:pPr>
        <w:tabs>
          <w:tab w:val="left" w:pos="8931"/>
        </w:tabs>
        <w:ind w:left="567"/>
        <w:jc w:val="both"/>
        <w:rPr>
          <w:rFonts w:ascii="Arial" w:hAnsi="Arial" w:cs="Arial"/>
          <w:sz w:val="26"/>
          <w:szCs w:val="26"/>
        </w:rPr>
      </w:pPr>
    </w:p>
    <w:p w14:paraId="12C46784" w14:textId="457D4B41" w:rsidR="00AC2DFA" w:rsidRDefault="00AC2DFA" w:rsidP="00D60C72">
      <w:pPr>
        <w:tabs>
          <w:tab w:val="left" w:pos="8931"/>
        </w:tabs>
        <w:ind w:left="567"/>
        <w:jc w:val="both"/>
        <w:rPr>
          <w:rFonts w:ascii="Arial" w:hAnsi="Arial" w:cs="Arial"/>
          <w:sz w:val="26"/>
          <w:szCs w:val="26"/>
        </w:rPr>
      </w:pPr>
      <w:r>
        <w:rPr>
          <w:rFonts w:ascii="Arial" w:hAnsi="Arial" w:cs="Arial"/>
          <w:sz w:val="26"/>
          <w:szCs w:val="26"/>
        </w:rPr>
        <w:t>Todos los actos normativos deben cumplimentar una serie de requisitos técnicos que tienden básicamente a garantizar su integ</w:t>
      </w:r>
      <w:r w:rsidR="000E6059">
        <w:rPr>
          <w:rFonts w:ascii="Arial" w:hAnsi="Arial" w:cs="Arial"/>
          <w:sz w:val="26"/>
          <w:szCs w:val="26"/>
        </w:rPr>
        <w:t>r</w:t>
      </w:r>
      <w:r>
        <w:rPr>
          <w:rFonts w:ascii="Arial" w:hAnsi="Arial" w:cs="Arial"/>
          <w:sz w:val="26"/>
          <w:szCs w:val="26"/>
        </w:rPr>
        <w:t>idad, irreductibilidad, coherencia, correspondencia y realismo.</w:t>
      </w:r>
      <w:r>
        <w:rPr>
          <w:rStyle w:val="Refdenotaalpie"/>
          <w:rFonts w:ascii="Arial" w:hAnsi="Arial" w:cs="Arial"/>
          <w:sz w:val="26"/>
          <w:szCs w:val="26"/>
        </w:rPr>
        <w:footnoteReference w:id="5"/>
      </w:r>
    </w:p>
    <w:p w14:paraId="15B18007" w14:textId="77DE39B1" w:rsidR="00AC2DFA" w:rsidRDefault="00AC2DFA" w:rsidP="00D60C72">
      <w:pPr>
        <w:tabs>
          <w:tab w:val="left" w:pos="8931"/>
        </w:tabs>
        <w:ind w:left="567"/>
        <w:jc w:val="both"/>
        <w:rPr>
          <w:rFonts w:ascii="Arial" w:hAnsi="Arial" w:cs="Arial"/>
          <w:sz w:val="26"/>
          <w:szCs w:val="26"/>
          <w:lang w:val="es-ES"/>
        </w:rPr>
      </w:pPr>
    </w:p>
    <w:p w14:paraId="2358409A" w14:textId="51E0A44A" w:rsidR="000E6059" w:rsidRDefault="000E6059" w:rsidP="00D60C72">
      <w:pPr>
        <w:tabs>
          <w:tab w:val="left" w:pos="8931"/>
        </w:tabs>
        <w:ind w:left="567"/>
        <w:jc w:val="both"/>
        <w:rPr>
          <w:rFonts w:ascii="Arial" w:hAnsi="Arial" w:cs="Arial"/>
          <w:i/>
          <w:iCs/>
          <w:sz w:val="26"/>
          <w:szCs w:val="26"/>
          <w:lang w:val="es-ES"/>
        </w:rPr>
      </w:pPr>
      <w:r w:rsidRPr="000E6059">
        <w:rPr>
          <w:rFonts w:ascii="Arial" w:hAnsi="Arial" w:cs="Arial"/>
          <w:i/>
          <w:iCs/>
          <w:sz w:val="26"/>
          <w:szCs w:val="26"/>
          <w:lang w:val="es-ES"/>
        </w:rPr>
        <w:t>II.1 Integridad</w:t>
      </w:r>
    </w:p>
    <w:p w14:paraId="0AC47C5A" w14:textId="77777777" w:rsidR="009D6F03" w:rsidRDefault="009D6F03" w:rsidP="00D60C72">
      <w:pPr>
        <w:tabs>
          <w:tab w:val="left" w:pos="8931"/>
        </w:tabs>
        <w:ind w:left="567"/>
        <w:jc w:val="both"/>
        <w:rPr>
          <w:rFonts w:ascii="Arial" w:hAnsi="Arial" w:cs="Arial"/>
          <w:sz w:val="26"/>
          <w:szCs w:val="26"/>
          <w:lang w:val="es-ES"/>
        </w:rPr>
      </w:pPr>
    </w:p>
    <w:p w14:paraId="56DAB211" w14:textId="2EE350C7" w:rsidR="000E6059" w:rsidRDefault="009D6F03" w:rsidP="00D60C72">
      <w:pPr>
        <w:tabs>
          <w:tab w:val="left" w:pos="8931"/>
        </w:tabs>
        <w:ind w:left="567"/>
        <w:jc w:val="both"/>
        <w:rPr>
          <w:rFonts w:ascii="Arial" w:hAnsi="Arial" w:cs="Arial"/>
          <w:sz w:val="26"/>
          <w:szCs w:val="26"/>
          <w:lang w:val="es-ES"/>
        </w:rPr>
      </w:pPr>
      <w:r>
        <w:rPr>
          <w:rFonts w:ascii="Arial" w:hAnsi="Arial" w:cs="Arial"/>
          <w:sz w:val="26"/>
          <w:szCs w:val="26"/>
          <w:lang w:val="es-ES"/>
        </w:rPr>
        <w:t>La integralidad de los actos normativos refiere a que deben ser completos, es decir, en relación con los objetivos perseguidos, la clase de la norma y la naturaleza de su contenido tengan todas las normas pertinentes.</w:t>
      </w:r>
    </w:p>
    <w:p w14:paraId="619EB217" w14:textId="2023075B" w:rsidR="009D6F03" w:rsidRDefault="009D6F03" w:rsidP="00D60C72">
      <w:pPr>
        <w:tabs>
          <w:tab w:val="left" w:pos="8931"/>
        </w:tabs>
        <w:ind w:left="567"/>
        <w:jc w:val="both"/>
        <w:rPr>
          <w:rFonts w:ascii="Arial" w:hAnsi="Arial" w:cs="Arial"/>
          <w:sz w:val="26"/>
          <w:szCs w:val="26"/>
          <w:lang w:val="es-ES"/>
        </w:rPr>
      </w:pPr>
    </w:p>
    <w:p w14:paraId="7ADDF038" w14:textId="294AA6AA" w:rsidR="009D6F03" w:rsidRDefault="009D6F03" w:rsidP="00D60C72">
      <w:pPr>
        <w:tabs>
          <w:tab w:val="left" w:pos="8931"/>
        </w:tabs>
        <w:ind w:left="567"/>
        <w:jc w:val="both"/>
        <w:rPr>
          <w:rFonts w:ascii="Arial" w:hAnsi="Arial" w:cs="Arial"/>
          <w:sz w:val="26"/>
          <w:szCs w:val="26"/>
          <w:lang w:val="es-ES"/>
        </w:rPr>
      </w:pPr>
      <w:r>
        <w:rPr>
          <w:rFonts w:ascii="Arial" w:hAnsi="Arial" w:cs="Arial"/>
          <w:sz w:val="26"/>
          <w:szCs w:val="26"/>
          <w:lang w:val="es-ES"/>
        </w:rPr>
        <w:t xml:space="preserve">En ese sentido, de la lectura del artículo 1, que establece los objetivos perseguibles por la propuesta en estudio, habla sobre la implementación de los Medios Alternativos para la Solución de Controversias, sin embargo, el único medio que contempla es la </w:t>
      </w:r>
      <w:r w:rsidRPr="009D6F03">
        <w:rPr>
          <w:rFonts w:ascii="Arial" w:hAnsi="Arial" w:cs="Arial"/>
          <w:b/>
          <w:bCs/>
          <w:sz w:val="26"/>
          <w:szCs w:val="26"/>
          <w:lang w:val="es-ES"/>
        </w:rPr>
        <w:t>Conciliación</w:t>
      </w:r>
      <w:r>
        <w:rPr>
          <w:rFonts w:ascii="Arial" w:hAnsi="Arial" w:cs="Arial"/>
          <w:sz w:val="26"/>
          <w:szCs w:val="26"/>
          <w:lang w:val="es-ES"/>
        </w:rPr>
        <w:t>, cuando existen otros medios como la Mediación, la negociación, el derecho colaborativo</w:t>
      </w:r>
      <w:r w:rsidR="00F40C99">
        <w:rPr>
          <w:rFonts w:ascii="Arial" w:hAnsi="Arial" w:cs="Arial"/>
          <w:sz w:val="26"/>
          <w:szCs w:val="26"/>
          <w:lang w:val="es-ES"/>
        </w:rPr>
        <w:t>, el arbitraje</w:t>
      </w:r>
      <w:r>
        <w:rPr>
          <w:rFonts w:ascii="Arial" w:hAnsi="Arial" w:cs="Arial"/>
          <w:sz w:val="26"/>
          <w:szCs w:val="26"/>
          <w:lang w:val="es-ES"/>
        </w:rPr>
        <w:t>, entre otros,</w:t>
      </w:r>
      <w:r>
        <w:rPr>
          <w:rStyle w:val="Refdenotaalpie"/>
          <w:rFonts w:ascii="Arial" w:hAnsi="Arial" w:cs="Arial"/>
          <w:sz w:val="26"/>
          <w:szCs w:val="26"/>
          <w:lang w:val="es-ES"/>
        </w:rPr>
        <w:footnoteReference w:id="6"/>
      </w:r>
      <w:r w:rsidR="008350BC">
        <w:rPr>
          <w:rFonts w:ascii="Arial" w:hAnsi="Arial" w:cs="Arial"/>
          <w:sz w:val="26"/>
          <w:szCs w:val="26"/>
          <w:lang w:val="es-ES"/>
        </w:rPr>
        <w:t xml:space="preserve"> y, de lo que se aprecia por el artículo 16, párrafo cuarto, inciso a), en la </w:t>
      </w:r>
      <w:r w:rsidR="008350BC">
        <w:rPr>
          <w:rFonts w:ascii="Arial" w:hAnsi="Arial" w:cs="Arial"/>
          <w:sz w:val="26"/>
          <w:szCs w:val="26"/>
          <w:lang w:val="es-ES"/>
        </w:rPr>
        <w:lastRenderedPageBreak/>
        <w:t>plantilla que comprenderá el juzgado cívico, contará con uno o más facilitadores, entonces se recomienda que existan otros medios de solución de controversias en el capítulo intitulado de la misma manera, de lo contrario, requerirá de otro acto normativo para regular esos medios alternativos, lo cual, no cumplirá con el requisito de integridad del acto normativo.</w:t>
      </w:r>
    </w:p>
    <w:p w14:paraId="0DFAC7F3" w14:textId="68D57710" w:rsidR="008350BC" w:rsidRDefault="008350BC" w:rsidP="00D60C72">
      <w:pPr>
        <w:tabs>
          <w:tab w:val="left" w:pos="8931"/>
        </w:tabs>
        <w:ind w:left="567"/>
        <w:jc w:val="both"/>
        <w:rPr>
          <w:rFonts w:ascii="Arial" w:hAnsi="Arial" w:cs="Arial"/>
          <w:sz w:val="26"/>
          <w:szCs w:val="26"/>
          <w:lang w:val="es-ES"/>
        </w:rPr>
      </w:pPr>
    </w:p>
    <w:p w14:paraId="45B203DC" w14:textId="77777777" w:rsidR="008350BC" w:rsidRDefault="008350BC" w:rsidP="00D60C72">
      <w:pPr>
        <w:tabs>
          <w:tab w:val="left" w:pos="8931"/>
        </w:tabs>
        <w:ind w:left="567"/>
        <w:jc w:val="both"/>
        <w:rPr>
          <w:rFonts w:ascii="Arial" w:hAnsi="Arial" w:cs="Arial"/>
          <w:sz w:val="26"/>
          <w:szCs w:val="26"/>
          <w:lang w:val="es-ES"/>
        </w:rPr>
      </w:pPr>
      <w:r>
        <w:rPr>
          <w:rFonts w:ascii="Arial" w:hAnsi="Arial" w:cs="Arial"/>
          <w:sz w:val="26"/>
          <w:szCs w:val="26"/>
          <w:lang w:val="es-ES"/>
        </w:rPr>
        <w:t xml:space="preserve">Ahora bien, este requisito no se colma, puesto que el artículo 15 de la propuesta en estudio establece: </w:t>
      </w:r>
    </w:p>
    <w:p w14:paraId="2991155C" w14:textId="77777777" w:rsidR="008350BC" w:rsidRDefault="008350BC" w:rsidP="00D60C72">
      <w:pPr>
        <w:tabs>
          <w:tab w:val="left" w:pos="8931"/>
        </w:tabs>
        <w:ind w:left="567"/>
        <w:jc w:val="both"/>
        <w:rPr>
          <w:rFonts w:ascii="Arial" w:hAnsi="Arial" w:cs="Arial"/>
          <w:sz w:val="26"/>
          <w:szCs w:val="26"/>
          <w:lang w:val="es-ES"/>
        </w:rPr>
      </w:pPr>
    </w:p>
    <w:p w14:paraId="60458D15" w14:textId="2C26F73F" w:rsidR="008350BC" w:rsidRPr="008350BC" w:rsidRDefault="008350BC" w:rsidP="008350BC">
      <w:pPr>
        <w:tabs>
          <w:tab w:val="left" w:pos="8931"/>
        </w:tabs>
        <w:ind w:left="1134" w:right="567"/>
        <w:jc w:val="both"/>
        <w:rPr>
          <w:rFonts w:ascii="Arial" w:hAnsi="Arial" w:cs="Arial"/>
          <w:i/>
          <w:iCs/>
          <w:sz w:val="26"/>
          <w:szCs w:val="26"/>
          <w:lang w:val="es-ES"/>
        </w:rPr>
      </w:pPr>
      <w:r w:rsidRPr="008350BC">
        <w:rPr>
          <w:rFonts w:ascii="Arial" w:hAnsi="Arial" w:cs="Arial"/>
          <w:i/>
          <w:iCs/>
          <w:sz w:val="26"/>
          <w:szCs w:val="26"/>
          <w:lang w:val="es-ES"/>
        </w:rPr>
        <w:t xml:space="preserve">Los Juzgados Cívicos tendrán autonomía técnica y operativa, dependerá directamente de la Sindicatura Municipal, conforme a lo dispuesto por el artículo 7 del presente Reglamento al titular de dicha área; </w:t>
      </w:r>
      <w:r w:rsidRPr="008350BC">
        <w:rPr>
          <w:rFonts w:ascii="Arial" w:hAnsi="Arial" w:cs="Arial"/>
          <w:b/>
          <w:bCs/>
          <w:i/>
          <w:iCs/>
          <w:sz w:val="26"/>
          <w:szCs w:val="26"/>
          <w:u w:val="single"/>
          <w:lang w:val="es-ES"/>
        </w:rPr>
        <w:t xml:space="preserve">el </w:t>
      </w:r>
      <w:proofErr w:type="gramStart"/>
      <w:r w:rsidRPr="008350BC">
        <w:rPr>
          <w:rFonts w:ascii="Arial" w:hAnsi="Arial" w:cs="Arial"/>
          <w:b/>
          <w:bCs/>
          <w:i/>
          <w:iCs/>
          <w:sz w:val="26"/>
          <w:szCs w:val="26"/>
          <w:u w:val="single"/>
          <w:lang w:val="es-ES"/>
        </w:rPr>
        <w:t>Presidente</w:t>
      </w:r>
      <w:proofErr w:type="gramEnd"/>
      <w:r w:rsidRPr="008350BC">
        <w:rPr>
          <w:rFonts w:ascii="Arial" w:hAnsi="Arial" w:cs="Arial"/>
          <w:b/>
          <w:bCs/>
          <w:i/>
          <w:iCs/>
          <w:sz w:val="26"/>
          <w:szCs w:val="26"/>
          <w:u w:val="single"/>
          <w:lang w:val="es-ES"/>
        </w:rPr>
        <w:t xml:space="preserve"> Municipal Constitucional mediante acuerdo delegará a los Jueces Cívicos las facultades necesarias para el ejercicio de sus funciones</w:t>
      </w:r>
      <w:r w:rsidRPr="008350BC">
        <w:rPr>
          <w:rFonts w:ascii="Arial" w:hAnsi="Arial" w:cs="Arial"/>
          <w:i/>
          <w:iCs/>
          <w:sz w:val="26"/>
          <w:szCs w:val="26"/>
          <w:lang w:val="es-ES"/>
        </w:rPr>
        <w:t>, el cual deberá ser publicado en la Gaceta Oficial del Municipio</w:t>
      </w:r>
      <w:r>
        <w:rPr>
          <w:rFonts w:ascii="Arial" w:hAnsi="Arial" w:cs="Arial"/>
          <w:i/>
          <w:iCs/>
          <w:sz w:val="26"/>
          <w:szCs w:val="26"/>
          <w:lang w:val="es-ES"/>
        </w:rPr>
        <w:t>.</w:t>
      </w:r>
    </w:p>
    <w:p w14:paraId="34D951EA" w14:textId="7B69FD4A" w:rsidR="008350BC" w:rsidRDefault="008350BC" w:rsidP="008350BC">
      <w:pPr>
        <w:tabs>
          <w:tab w:val="left" w:pos="8931"/>
        </w:tabs>
        <w:ind w:left="1134" w:right="567"/>
        <w:jc w:val="both"/>
        <w:rPr>
          <w:rFonts w:ascii="Arial" w:hAnsi="Arial" w:cs="Arial"/>
          <w:sz w:val="26"/>
          <w:szCs w:val="26"/>
          <w:lang w:val="es-ES"/>
        </w:rPr>
      </w:pPr>
      <w:r>
        <w:rPr>
          <w:rFonts w:ascii="Arial" w:hAnsi="Arial" w:cs="Arial"/>
          <w:sz w:val="26"/>
          <w:szCs w:val="26"/>
          <w:lang w:val="es-ES"/>
        </w:rPr>
        <w:t>(Lo señalado en negritas y subrayado es hecho por el suscrito)</w:t>
      </w:r>
    </w:p>
    <w:p w14:paraId="7693D371" w14:textId="6DE7ECFF" w:rsidR="008350BC" w:rsidRDefault="008350BC" w:rsidP="00D60C72">
      <w:pPr>
        <w:tabs>
          <w:tab w:val="left" w:pos="8931"/>
        </w:tabs>
        <w:ind w:left="567"/>
        <w:jc w:val="both"/>
        <w:rPr>
          <w:rFonts w:ascii="Arial" w:hAnsi="Arial" w:cs="Arial"/>
          <w:sz w:val="26"/>
          <w:szCs w:val="26"/>
          <w:lang w:val="es-ES"/>
        </w:rPr>
      </w:pPr>
    </w:p>
    <w:p w14:paraId="757BECEB" w14:textId="75B0912B" w:rsidR="008350BC" w:rsidRDefault="008350BC" w:rsidP="00D60C72">
      <w:pPr>
        <w:tabs>
          <w:tab w:val="left" w:pos="8931"/>
        </w:tabs>
        <w:ind w:left="567"/>
        <w:jc w:val="both"/>
        <w:rPr>
          <w:rFonts w:ascii="Arial" w:hAnsi="Arial" w:cs="Arial"/>
          <w:sz w:val="26"/>
          <w:szCs w:val="26"/>
          <w:lang w:val="es-ES"/>
        </w:rPr>
      </w:pPr>
      <w:r>
        <w:rPr>
          <w:rFonts w:ascii="Arial" w:hAnsi="Arial" w:cs="Arial"/>
          <w:sz w:val="26"/>
          <w:szCs w:val="26"/>
          <w:lang w:val="es-ES"/>
        </w:rPr>
        <w:t>De la lectura de lo anterior</w:t>
      </w:r>
      <w:r w:rsidR="00E72368">
        <w:rPr>
          <w:rFonts w:ascii="Arial" w:hAnsi="Arial" w:cs="Arial"/>
          <w:sz w:val="26"/>
          <w:szCs w:val="26"/>
          <w:lang w:val="es-ES"/>
        </w:rPr>
        <w:t xml:space="preserve">, se observa que aún faltaría un Acuerdo más, en la que el </w:t>
      </w:r>
      <w:proofErr w:type="gramStart"/>
      <w:r w:rsidR="00E72368">
        <w:rPr>
          <w:rFonts w:ascii="Arial" w:hAnsi="Arial" w:cs="Arial"/>
          <w:sz w:val="26"/>
          <w:szCs w:val="26"/>
          <w:lang w:val="es-ES"/>
        </w:rPr>
        <w:t>Presidente</w:t>
      </w:r>
      <w:proofErr w:type="gramEnd"/>
      <w:r w:rsidR="00E72368">
        <w:rPr>
          <w:rFonts w:ascii="Arial" w:hAnsi="Arial" w:cs="Arial"/>
          <w:sz w:val="26"/>
          <w:szCs w:val="26"/>
          <w:lang w:val="es-ES"/>
        </w:rPr>
        <w:t xml:space="preserve"> Municipal delegue las facultades necesarias para el ejercicio de sus funciones, lo cual no cumple con el requisito de integridad de los actos normativos, además que el propio Reglamento al regular los Juzgados Cívicos, se esperaría que fuera la única norma que contemple sus funciones, sin entrar al fondo del estudio sobre su coherencia, que se realizará en el apartado correspondiente.</w:t>
      </w:r>
    </w:p>
    <w:p w14:paraId="4A553B4C" w14:textId="42D0A0E9" w:rsidR="008350BC" w:rsidRDefault="008350BC" w:rsidP="008C7B21">
      <w:pPr>
        <w:tabs>
          <w:tab w:val="left" w:pos="8931"/>
        </w:tabs>
        <w:jc w:val="both"/>
        <w:rPr>
          <w:rFonts w:ascii="Arial" w:hAnsi="Arial" w:cs="Arial"/>
          <w:sz w:val="26"/>
          <w:szCs w:val="26"/>
          <w:lang w:val="es-ES"/>
        </w:rPr>
      </w:pPr>
    </w:p>
    <w:p w14:paraId="58B9DD5D" w14:textId="3781B157" w:rsidR="008350BC" w:rsidRDefault="008350BC" w:rsidP="00D60C72">
      <w:pPr>
        <w:tabs>
          <w:tab w:val="left" w:pos="8931"/>
        </w:tabs>
        <w:ind w:left="567"/>
        <w:jc w:val="both"/>
        <w:rPr>
          <w:rFonts w:ascii="Arial" w:hAnsi="Arial" w:cs="Arial"/>
          <w:i/>
          <w:iCs/>
          <w:sz w:val="26"/>
          <w:szCs w:val="26"/>
          <w:lang w:val="es-ES"/>
        </w:rPr>
      </w:pPr>
      <w:r w:rsidRPr="008350BC">
        <w:rPr>
          <w:rFonts w:ascii="Arial" w:hAnsi="Arial" w:cs="Arial"/>
          <w:i/>
          <w:iCs/>
          <w:sz w:val="26"/>
          <w:szCs w:val="26"/>
          <w:lang w:val="es-ES"/>
        </w:rPr>
        <w:t>II.2. Irreductibilidad</w:t>
      </w:r>
    </w:p>
    <w:p w14:paraId="27043A73" w14:textId="77777777" w:rsidR="008350BC" w:rsidRDefault="008350BC" w:rsidP="00D60C72">
      <w:pPr>
        <w:tabs>
          <w:tab w:val="left" w:pos="8931"/>
        </w:tabs>
        <w:ind w:left="567"/>
        <w:jc w:val="both"/>
        <w:rPr>
          <w:rFonts w:ascii="Arial" w:hAnsi="Arial" w:cs="Arial"/>
          <w:sz w:val="26"/>
          <w:szCs w:val="26"/>
          <w:lang w:val="es-ES"/>
        </w:rPr>
      </w:pPr>
    </w:p>
    <w:p w14:paraId="057D25A9" w14:textId="6A4AB78F" w:rsidR="008350BC" w:rsidRPr="008350BC" w:rsidRDefault="008350BC" w:rsidP="00D60C72">
      <w:pPr>
        <w:tabs>
          <w:tab w:val="left" w:pos="8931"/>
        </w:tabs>
        <w:ind w:left="567"/>
        <w:jc w:val="both"/>
        <w:rPr>
          <w:rFonts w:ascii="Arial" w:hAnsi="Arial" w:cs="Arial"/>
          <w:sz w:val="26"/>
          <w:szCs w:val="26"/>
          <w:lang w:val="es-ES"/>
        </w:rPr>
      </w:pPr>
      <w:r>
        <w:rPr>
          <w:rFonts w:ascii="Arial" w:hAnsi="Arial" w:cs="Arial"/>
          <w:sz w:val="26"/>
          <w:szCs w:val="26"/>
          <w:lang w:val="es-ES"/>
        </w:rPr>
        <w:t>La propuesta en estudio no contempla más normas que las pertinentes.</w:t>
      </w:r>
    </w:p>
    <w:p w14:paraId="61BAA956" w14:textId="35114CAB" w:rsidR="00D60C72" w:rsidRDefault="00D60C72" w:rsidP="00D60C72">
      <w:pPr>
        <w:tabs>
          <w:tab w:val="left" w:pos="8931"/>
        </w:tabs>
        <w:ind w:left="567"/>
        <w:jc w:val="both"/>
        <w:rPr>
          <w:rFonts w:ascii="Arial" w:hAnsi="Arial" w:cs="Arial"/>
          <w:sz w:val="26"/>
          <w:szCs w:val="26"/>
          <w:lang w:val="es-ES"/>
        </w:rPr>
      </w:pPr>
    </w:p>
    <w:p w14:paraId="73B717AE" w14:textId="20F4642F" w:rsidR="00E72368" w:rsidRPr="00E72368" w:rsidRDefault="00E72368" w:rsidP="00D60C72">
      <w:pPr>
        <w:tabs>
          <w:tab w:val="left" w:pos="8931"/>
        </w:tabs>
        <w:ind w:left="567"/>
        <w:jc w:val="both"/>
        <w:rPr>
          <w:rFonts w:ascii="Arial" w:hAnsi="Arial" w:cs="Arial"/>
          <w:i/>
          <w:iCs/>
          <w:sz w:val="26"/>
          <w:szCs w:val="26"/>
          <w:lang w:val="es-ES"/>
        </w:rPr>
      </w:pPr>
      <w:r w:rsidRPr="00E72368">
        <w:rPr>
          <w:rFonts w:ascii="Arial" w:hAnsi="Arial" w:cs="Arial"/>
          <w:i/>
          <w:iCs/>
          <w:sz w:val="26"/>
          <w:szCs w:val="26"/>
          <w:lang w:val="es-ES"/>
        </w:rPr>
        <w:lastRenderedPageBreak/>
        <w:t>II.3. Coherencia</w:t>
      </w:r>
    </w:p>
    <w:p w14:paraId="6C06D508" w14:textId="7CAF0A40" w:rsidR="00D60C72" w:rsidRDefault="00D60C72" w:rsidP="00D60C72">
      <w:pPr>
        <w:tabs>
          <w:tab w:val="left" w:pos="8931"/>
        </w:tabs>
        <w:ind w:left="567"/>
        <w:jc w:val="both"/>
        <w:rPr>
          <w:rFonts w:ascii="Arial" w:hAnsi="Arial" w:cs="Arial"/>
          <w:sz w:val="26"/>
          <w:szCs w:val="26"/>
          <w:lang w:val="es-ES"/>
        </w:rPr>
      </w:pPr>
    </w:p>
    <w:p w14:paraId="622939FA" w14:textId="6DFD1DF6" w:rsidR="00E72368" w:rsidRDefault="00E72368" w:rsidP="00D60C72">
      <w:pPr>
        <w:tabs>
          <w:tab w:val="left" w:pos="8931"/>
        </w:tabs>
        <w:ind w:left="567"/>
        <w:jc w:val="both"/>
        <w:rPr>
          <w:rFonts w:ascii="Arial" w:hAnsi="Arial" w:cs="Arial"/>
          <w:sz w:val="26"/>
          <w:szCs w:val="26"/>
          <w:lang w:val="es-ES"/>
        </w:rPr>
      </w:pPr>
      <w:r>
        <w:rPr>
          <w:rFonts w:ascii="Arial" w:hAnsi="Arial" w:cs="Arial"/>
          <w:sz w:val="26"/>
          <w:szCs w:val="26"/>
          <w:lang w:val="es-ES"/>
        </w:rPr>
        <w:t>Las disposiciones que no encuentran armonía con el propio texto interno de los actos normativos o con las normas vigentes, atentan contra su claridad y precisión.</w:t>
      </w:r>
    </w:p>
    <w:p w14:paraId="227367C5" w14:textId="4060BEB8" w:rsidR="00E72368" w:rsidRDefault="00E72368" w:rsidP="00D60C72">
      <w:pPr>
        <w:tabs>
          <w:tab w:val="left" w:pos="8931"/>
        </w:tabs>
        <w:ind w:left="567"/>
        <w:jc w:val="both"/>
        <w:rPr>
          <w:rFonts w:ascii="Arial" w:hAnsi="Arial" w:cs="Arial"/>
          <w:sz w:val="26"/>
          <w:szCs w:val="26"/>
          <w:lang w:val="es-ES"/>
        </w:rPr>
      </w:pPr>
    </w:p>
    <w:p w14:paraId="5A815DA0" w14:textId="4379A554" w:rsidR="00E72368" w:rsidRDefault="00E72368" w:rsidP="00CD5640">
      <w:pPr>
        <w:pStyle w:val="Prrafodelista"/>
        <w:numPr>
          <w:ilvl w:val="0"/>
          <w:numId w:val="6"/>
        </w:numPr>
        <w:tabs>
          <w:tab w:val="left" w:pos="8931"/>
        </w:tabs>
        <w:jc w:val="both"/>
        <w:rPr>
          <w:rFonts w:ascii="Arial" w:hAnsi="Arial" w:cs="Arial"/>
          <w:sz w:val="26"/>
          <w:szCs w:val="26"/>
          <w:lang w:val="es-ES"/>
        </w:rPr>
      </w:pPr>
      <w:r w:rsidRPr="00CD5640">
        <w:rPr>
          <w:rFonts w:ascii="Arial" w:hAnsi="Arial" w:cs="Arial"/>
          <w:sz w:val="26"/>
          <w:szCs w:val="26"/>
          <w:lang w:val="es-ES"/>
        </w:rPr>
        <w:t>En tal virtud, se advierte la primera de ellas en l</w:t>
      </w:r>
      <w:r w:rsidR="00CD5640" w:rsidRPr="00CD5640">
        <w:rPr>
          <w:rFonts w:ascii="Arial" w:hAnsi="Arial" w:cs="Arial"/>
          <w:sz w:val="26"/>
          <w:szCs w:val="26"/>
          <w:lang w:val="es-ES"/>
        </w:rPr>
        <w:t>os</w:t>
      </w:r>
      <w:r w:rsidRPr="00CD5640">
        <w:rPr>
          <w:rFonts w:ascii="Arial" w:hAnsi="Arial" w:cs="Arial"/>
          <w:sz w:val="26"/>
          <w:szCs w:val="26"/>
          <w:lang w:val="es-ES"/>
        </w:rPr>
        <w:t xml:space="preserve"> artículo</w:t>
      </w:r>
      <w:r w:rsidR="00CD5640" w:rsidRPr="00CD5640">
        <w:rPr>
          <w:rFonts w:ascii="Arial" w:hAnsi="Arial" w:cs="Arial"/>
          <w:sz w:val="26"/>
          <w:szCs w:val="26"/>
          <w:lang w:val="es-ES"/>
        </w:rPr>
        <w:t>s</w:t>
      </w:r>
      <w:r w:rsidRPr="00CD5640">
        <w:rPr>
          <w:rFonts w:ascii="Arial" w:hAnsi="Arial" w:cs="Arial"/>
          <w:sz w:val="26"/>
          <w:szCs w:val="26"/>
          <w:lang w:val="es-ES"/>
        </w:rPr>
        <w:t xml:space="preserve"> 9, 10, 12 y 83 que contemplan el término </w:t>
      </w:r>
      <w:r w:rsidRPr="00CD5640">
        <w:rPr>
          <w:rFonts w:ascii="Arial" w:hAnsi="Arial" w:cs="Arial"/>
          <w:i/>
          <w:iCs/>
          <w:sz w:val="26"/>
          <w:szCs w:val="26"/>
          <w:lang w:val="es-ES"/>
        </w:rPr>
        <w:t>Cabildo</w:t>
      </w:r>
      <w:r w:rsidRPr="00CD5640">
        <w:rPr>
          <w:rFonts w:ascii="Arial" w:hAnsi="Arial" w:cs="Arial"/>
          <w:sz w:val="26"/>
          <w:szCs w:val="26"/>
          <w:lang w:val="es-ES"/>
        </w:rPr>
        <w:t>, dicho término está reservado al nombre de la sesión en que se reúne el Cuerpo edilicio, de acuerdo al artículo 5</w:t>
      </w:r>
      <w:r w:rsidR="00CD5640" w:rsidRPr="00CD5640">
        <w:rPr>
          <w:rFonts w:ascii="Arial" w:hAnsi="Arial" w:cs="Arial"/>
          <w:sz w:val="26"/>
          <w:szCs w:val="26"/>
          <w:lang w:val="es-ES"/>
        </w:rPr>
        <w:t xml:space="preserve"> </w:t>
      </w:r>
      <w:r w:rsidRPr="00CD5640">
        <w:rPr>
          <w:rFonts w:ascii="Arial" w:hAnsi="Arial" w:cs="Arial"/>
          <w:sz w:val="26"/>
          <w:szCs w:val="26"/>
          <w:lang w:val="es-ES"/>
        </w:rPr>
        <w:t>bis, fracción III, de la Ley Orgánica Municipal del Estado de Morelos, lo propio es Ayuntamiento, al ser este el órgano colegiado y deliberante en la que se deposita el gobierno y representación jurídica y política del Municipio.</w:t>
      </w:r>
    </w:p>
    <w:p w14:paraId="181BE23C" w14:textId="77777777" w:rsidR="00CD5640" w:rsidRDefault="00CD5640" w:rsidP="00CD5640">
      <w:pPr>
        <w:pStyle w:val="Prrafodelista"/>
        <w:numPr>
          <w:ilvl w:val="0"/>
          <w:numId w:val="6"/>
        </w:numPr>
        <w:tabs>
          <w:tab w:val="left" w:pos="8931"/>
        </w:tabs>
        <w:jc w:val="both"/>
        <w:rPr>
          <w:rFonts w:ascii="Arial" w:hAnsi="Arial" w:cs="Arial"/>
          <w:sz w:val="26"/>
          <w:szCs w:val="26"/>
          <w:lang w:val="es-ES"/>
        </w:rPr>
      </w:pPr>
      <w:r>
        <w:rPr>
          <w:rFonts w:ascii="Arial" w:hAnsi="Arial" w:cs="Arial"/>
          <w:sz w:val="26"/>
          <w:szCs w:val="26"/>
          <w:lang w:val="es-ES"/>
        </w:rPr>
        <w:t xml:space="preserve">La segunda de ellas se encuentra contemplada en el artículo 16, inciso b), que señala el término </w:t>
      </w:r>
      <w:r>
        <w:rPr>
          <w:rFonts w:ascii="Arial" w:hAnsi="Arial" w:cs="Arial"/>
          <w:i/>
          <w:iCs/>
          <w:sz w:val="26"/>
          <w:szCs w:val="26"/>
          <w:lang w:val="es-ES"/>
        </w:rPr>
        <w:t>“Procuraduría de defensa del ciudadano”</w:t>
      </w:r>
      <w:r>
        <w:rPr>
          <w:rFonts w:ascii="Arial" w:hAnsi="Arial" w:cs="Arial"/>
          <w:sz w:val="26"/>
          <w:szCs w:val="26"/>
          <w:lang w:val="es-ES"/>
        </w:rPr>
        <w:t xml:space="preserve">, procuraduría que, al buscar en la </w:t>
      </w:r>
      <w:r w:rsidRPr="00CD5640">
        <w:rPr>
          <w:rFonts w:ascii="Arial" w:hAnsi="Arial" w:cs="Arial"/>
          <w:sz w:val="26"/>
          <w:szCs w:val="26"/>
          <w:lang w:val="es-ES"/>
        </w:rPr>
        <w:t xml:space="preserve">Ley Orgánica de la </w:t>
      </w:r>
      <w:proofErr w:type="gramStart"/>
      <w:r w:rsidRPr="00CD5640">
        <w:rPr>
          <w:rFonts w:ascii="Arial" w:hAnsi="Arial" w:cs="Arial"/>
          <w:sz w:val="26"/>
          <w:szCs w:val="26"/>
          <w:lang w:val="es-ES"/>
        </w:rPr>
        <w:t>Fiscalía General</w:t>
      </w:r>
      <w:proofErr w:type="gramEnd"/>
      <w:r w:rsidRPr="00CD5640">
        <w:rPr>
          <w:rFonts w:ascii="Arial" w:hAnsi="Arial" w:cs="Arial"/>
          <w:sz w:val="26"/>
          <w:szCs w:val="26"/>
          <w:lang w:val="es-ES"/>
        </w:rPr>
        <w:t xml:space="preserve"> del Estado de Morelos</w:t>
      </w:r>
      <w:r>
        <w:rPr>
          <w:rFonts w:ascii="Arial" w:hAnsi="Arial" w:cs="Arial"/>
          <w:sz w:val="26"/>
          <w:szCs w:val="26"/>
          <w:lang w:val="es-ES"/>
        </w:rPr>
        <w:t xml:space="preserve"> y la correspondiente a la Administración Pública del Estado de Morelos y en otras normas similares, no se encontró, por lo que se sugiere cambiar o bien suprimirla.</w:t>
      </w:r>
    </w:p>
    <w:p w14:paraId="2CC85B96" w14:textId="12F4D5A1" w:rsidR="00CD5640" w:rsidRDefault="00CD5640" w:rsidP="00CD5640">
      <w:pPr>
        <w:pStyle w:val="Prrafodelista"/>
        <w:numPr>
          <w:ilvl w:val="0"/>
          <w:numId w:val="6"/>
        </w:numPr>
        <w:tabs>
          <w:tab w:val="left" w:pos="8931"/>
        </w:tabs>
        <w:jc w:val="both"/>
        <w:rPr>
          <w:rFonts w:ascii="Arial" w:hAnsi="Arial" w:cs="Arial"/>
          <w:sz w:val="26"/>
          <w:szCs w:val="26"/>
          <w:lang w:val="es-ES"/>
        </w:rPr>
      </w:pPr>
      <w:r>
        <w:rPr>
          <w:rFonts w:ascii="Arial" w:hAnsi="Arial" w:cs="Arial"/>
          <w:sz w:val="26"/>
          <w:szCs w:val="26"/>
          <w:lang w:val="es-ES"/>
        </w:rPr>
        <w:t>Por su parte, el artículo 17 que establece que el titular de la Coordinación de Juzgados Cívicos podrá ejercer las atribuciones que le confiere la Ley Orgánica Municipal del Estado de Morelos, sin embargo, dicha Ley no le confiere facultades a dicha unidad administrativa, además se advierte que el título completo del Reglamento Interior de la Sindicatura Municipal del Ayuntamiento de Cuernavaca, Morelos.</w:t>
      </w:r>
    </w:p>
    <w:p w14:paraId="55B44453" w14:textId="17D07528" w:rsidR="00CD5640" w:rsidRDefault="00CD5640" w:rsidP="00CD5640">
      <w:pPr>
        <w:pStyle w:val="Prrafodelista"/>
        <w:numPr>
          <w:ilvl w:val="0"/>
          <w:numId w:val="6"/>
        </w:numPr>
        <w:tabs>
          <w:tab w:val="left" w:pos="8931"/>
        </w:tabs>
        <w:jc w:val="both"/>
        <w:rPr>
          <w:rFonts w:ascii="Arial" w:hAnsi="Arial" w:cs="Arial"/>
          <w:sz w:val="26"/>
          <w:szCs w:val="26"/>
          <w:lang w:val="es-ES"/>
        </w:rPr>
      </w:pPr>
      <w:r>
        <w:rPr>
          <w:rFonts w:ascii="Arial" w:hAnsi="Arial" w:cs="Arial"/>
          <w:sz w:val="26"/>
          <w:szCs w:val="26"/>
          <w:lang w:val="es-ES"/>
        </w:rPr>
        <w:t xml:space="preserve">Así mismo, se observa que el artículo 28, fracción V, de la propuesta en estudio, menciona que los Juzgados Cívicos sancionarán a los servidores públicos ejemplarmente que en el ejercicio de sus funciones contravengan los principios de la Cultura Cívica y de la Legalidad, lo cual, se considera violatorio al procedimiento que establece la Ley General de </w:t>
      </w:r>
      <w:r>
        <w:rPr>
          <w:rFonts w:ascii="Arial" w:hAnsi="Arial" w:cs="Arial"/>
          <w:sz w:val="26"/>
          <w:szCs w:val="26"/>
          <w:lang w:val="es-ES"/>
        </w:rPr>
        <w:lastRenderedPageBreak/>
        <w:t>Responsabilidades Administrativas y la propia del Estado, pues lo juzgados cívicos no son autoridades para sancionar a servidores públicos por el ejercicio de sus funciones.</w:t>
      </w:r>
    </w:p>
    <w:p w14:paraId="332B3EB2" w14:textId="403FBA5E" w:rsidR="00CD5640" w:rsidRPr="004779B0" w:rsidRDefault="00CD5640" w:rsidP="00CD5640">
      <w:pPr>
        <w:pStyle w:val="Prrafodelista"/>
        <w:numPr>
          <w:ilvl w:val="0"/>
          <w:numId w:val="6"/>
        </w:numPr>
        <w:tabs>
          <w:tab w:val="left" w:pos="8931"/>
        </w:tabs>
        <w:jc w:val="both"/>
        <w:rPr>
          <w:rFonts w:ascii="Arial" w:hAnsi="Arial" w:cs="Arial"/>
          <w:i/>
          <w:iCs/>
          <w:sz w:val="26"/>
          <w:szCs w:val="26"/>
          <w:lang w:val="es-ES"/>
        </w:rPr>
      </w:pPr>
      <w:r>
        <w:rPr>
          <w:rFonts w:ascii="Arial" w:hAnsi="Arial" w:cs="Arial"/>
          <w:sz w:val="26"/>
          <w:szCs w:val="26"/>
          <w:lang w:val="es-ES"/>
        </w:rPr>
        <w:t>Ahora, el artículo 57 establece primero que “…</w:t>
      </w:r>
      <w:r w:rsidRPr="00CD5640">
        <w:rPr>
          <w:rFonts w:ascii="Arial" w:hAnsi="Arial" w:cs="Arial"/>
          <w:i/>
          <w:iCs/>
          <w:sz w:val="26"/>
          <w:szCs w:val="26"/>
          <w:lang w:val="es-ES"/>
        </w:rPr>
        <w:t>El Juez Cívico, con apoyo de elementos técnicos, si considera que es de mayor beneficio a la comunidad y para el infractor</w:t>
      </w:r>
      <w:r>
        <w:rPr>
          <w:rFonts w:ascii="Arial" w:hAnsi="Arial" w:cs="Arial"/>
          <w:sz w:val="26"/>
          <w:szCs w:val="26"/>
          <w:lang w:val="es-ES"/>
        </w:rPr>
        <w:t xml:space="preserve">…”, en relación con el artículo 32 de la Ley Estatal, dicha Ley señala que el Juez, </w:t>
      </w:r>
      <w:r w:rsidRPr="004779B0">
        <w:rPr>
          <w:rFonts w:ascii="Arial" w:hAnsi="Arial" w:cs="Arial"/>
          <w:b/>
          <w:bCs/>
          <w:i/>
          <w:iCs/>
          <w:sz w:val="26"/>
          <w:szCs w:val="26"/>
          <w:lang w:val="es-ES"/>
        </w:rPr>
        <w:t>valorando las circunstancias personales del infractor,</w:t>
      </w:r>
      <w:r w:rsidR="004779B0" w:rsidRPr="004779B0">
        <w:rPr>
          <w:rFonts w:ascii="Arial" w:hAnsi="Arial" w:cs="Arial"/>
          <w:b/>
          <w:bCs/>
          <w:i/>
          <w:iCs/>
          <w:sz w:val="26"/>
          <w:szCs w:val="26"/>
          <w:lang w:val="es-ES"/>
        </w:rPr>
        <w:t xml:space="preserve"> </w:t>
      </w:r>
      <w:r w:rsidR="004779B0" w:rsidRPr="004779B0">
        <w:rPr>
          <w:rFonts w:ascii="Arial" w:hAnsi="Arial" w:cs="Arial"/>
          <w:b/>
          <w:bCs/>
          <w:i/>
          <w:iCs/>
          <w:sz w:val="26"/>
          <w:szCs w:val="26"/>
          <w:lang w:val="es-ES_tradnl"/>
        </w:rPr>
        <w:t>podrá acordar la suspensión de la sanción impuesta y señalar los días, horas y lugares en que se llevarán a cabo las actividades de apoyo a la comunidad</w:t>
      </w:r>
      <w:r w:rsidR="004779B0">
        <w:rPr>
          <w:rFonts w:ascii="Arial" w:hAnsi="Arial" w:cs="Arial"/>
          <w:sz w:val="26"/>
          <w:szCs w:val="26"/>
          <w:lang w:val="es-ES_tradnl"/>
        </w:rPr>
        <w:t>, por ello, el que el Reglamento propuesto establezca elementos distintos a la Ley, lo hace más riguroso a lo que la propia Ley señala. Así mismo</w:t>
      </w:r>
      <w:r w:rsidR="004779B0" w:rsidRPr="004779B0">
        <w:rPr>
          <w:rFonts w:ascii="Arial" w:hAnsi="Arial" w:cs="Arial"/>
          <w:sz w:val="26"/>
          <w:szCs w:val="26"/>
          <w:lang w:val="es-ES_tradnl"/>
        </w:rPr>
        <w:t>, el mismo artículo 32 establece “</w:t>
      </w:r>
      <w:r w:rsidR="004779B0" w:rsidRPr="004779B0">
        <w:rPr>
          <w:rFonts w:ascii="Arial" w:hAnsi="Arial" w:cs="Arial"/>
          <w:sz w:val="26"/>
          <w:szCs w:val="26"/>
          <w:u w:val="single"/>
          <w:lang w:val="es-ES_tradnl"/>
        </w:rPr>
        <w:t>Suspender la sanción impuesta</w:t>
      </w:r>
      <w:r w:rsidR="004779B0" w:rsidRPr="004779B0">
        <w:rPr>
          <w:rFonts w:ascii="Arial" w:hAnsi="Arial" w:cs="Arial"/>
          <w:sz w:val="26"/>
          <w:szCs w:val="26"/>
          <w:lang w:val="es-ES_tradnl"/>
        </w:rPr>
        <w:t>” no “</w:t>
      </w:r>
      <w:r w:rsidR="004779B0" w:rsidRPr="004779B0">
        <w:rPr>
          <w:rFonts w:ascii="Arial" w:hAnsi="Arial" w:cs="Arial"/>
          <w:sz w:val="26"/>
          <w:szCs w:val="26"/>
          <w:u w:val="single"/>
          <w:lang w:val="es-ES_tradnl"/>
        </w:rPr>
        <w:t>conmutar</w:t>
      </w:r>
      <w:r w:rsidR="004779B0" w:rsidRPr="004779B0">
        <w:rPr>
          <w:rFonts w:ascii="Arial" w:hAnsi="Arial" w:cs="Arial"/>
          <w:sz w:val="26"/>
          <w:szCs w:val="26"/>
          <w:lang w:val="es-ES_tradnl"/>
        </w:rPr>
        <w:t>”, lo cual se presta a un error de inte</w:t>
      </w:r>
      <w:r w:rsidR="004779B0">
        <w:rPr>
          <w:rFonts w:ascii="Arial" w:hAnsi="Arial" w:cs="Arial"/>
          <w:sz w:val="26"/>
          <w:szCs w:val="26"/>
          <w:lang w:val="es-ES_tradnl"/>
        </w:rPr>
        <w:t>r</w:t>
      </w:r>
      <w:r w:rsidR="004779B0" w:rsidRPr="004779B0">
        <w:rPr>
          <w:rFonts w:ascii="Arial" w:hAnsi="Arial" w:cs="Arial"/>
          <w:sz w:val="26"/>
          <w:szCs w:val="26"/>
          <w:lang w:val="es-ES_tradnl"/>
        </w:rPr>
        <w:t>pretación, pues solo hasta que se terminen las actividades en apoyo a la comunidad, la sanción se cancelará. Además de que el Juez debe señalar en todos los casos esta prerrogativa al infractor.</w:t>
      </w:r>
    </w:p>
    <w:p w14:paraId="67DD8EA6" w14:textId="42585DEE" w:rsidR="004779B0" w:rsidRPr="004779B0" w:rsidRDefault="004779B0" w:rsidP="00CD5640">
      <w:pPr>
        <w:pStyle w:val="Prrafodelista"/>
        <w:numPr>
          <w:ilvl w:val="0"/>
          <w:numId w:val="6"/>
        </w:numPr>
        <w:tabs>
          <w:tab w:val="left" w:pos="8931"/>
        </w:tabs>
        <w:jc w:val="both"/>
        <w:rPr>
          <w:rFonts w:ascii="Arial" w:hAnsi="Arial" w:cs="Arial"/>
          <w:i/>
          <w:iCs/>
          <w:sz w:val="26"/>
          <w:szCs w:val="26"/>
          <w:lang w:val="es-ES"/>
        </w:rPr>
      </w:pPr>
      <w:r>
        <w:rPr>
          <w:rFonts w:ascii="Arial" w:hAnsi="Arial" w:cs="Arial"/>
          <w:sz w:val="26"/>
          <w:szCs w:val="26"/>
          <w:lang w:val="es-ES_tradnl"/>
        </w:rPr>
        <w:t xml:space="preserve">Por su parte, el artículo 58 contempla el término “… </w:t>
      </w:r>
      <w:r w:rsidRPr="004779B0">
        <w:rPr>
          <w:rFonts w:ascii="Arial" w:hAnsi="Arial" w:cs="Arial"/>
          <w:sz w:val="26"/>
          <w:szCs w:val="26"/>
          <w:lang w:val="es-ES_tradnl"/>
        </w:rPr>
        <w:t>desarrollo integral de la</w:t>
      </w:r>
      <w:r>
        <w:rPr>
          <w:rFonts w:ascii="Arial" w:hAnsi="Arial" w:cs="Arial"/>
          <w:sz w:val="26"/>
          <w:szCs w:val="26"/>
          <w:lang w:val="es-ES_tradnl"/>
        </w:rPr>
        <w:t xml:space="preserve"> </w:t>
      </w:r>
      <w:r w:rsidRPr="004779B0">
        <w:rPr>
          <w:rFonts w:ascii="Arial" w:hAnsi="Arial" w:cs="Arial"/>
          <w:i/>
          <w:iCs/>
          <w:sz w:val="26"/>
          <w:szCs w:val="26"/>
          <w:lang w:val="es-ES_tradnl"/>
        </w:rPr>
        <w:t>persona humana</w:t>
      </w:r>
      <w:r>
        <w:rPr>
          <w:rFonts w:ascii="Arial" w:hAnsi="Arial" w:cs="Arial"/>
          <w:sz w:val="26"/>
          <w:szCs w:val="26"/>
          <w:lang w:val="es-ES_tradnl"/>
        </w:rPr>
        <w:t>…” aunque haya distintos tipos de personas (físicas y morales), no resulta necesario para el entendimiento de este texto señalar que se refiere a humanos.</w:t>
      </w:r>
    </w:p>
    <w:p w14:paraId="53184C1A" w14:textId="650BC307" w:rsidR="004779B0" w:rsidRPr="004779B0" w:rsidRDefault="004779B0" w:rsidP="00CD5640">
      <w:pPr>
        <w:pStyle w:val="Prrafodelista"/>
        <w:numPr>
          <w:ilvl w:val="0"/>
          <w:numId w:val="6"/>
        </w:numPr>
        <w:tabs>
          <w:tab w:val="left" w:pos="8931"/>
        </w:tabs>
        <w:jc w:val="both"/>
        <w:rPr>
          <w:rFonts w:ascii="Arial" w:hAnsi="Arial" w:cs="Arial"/>
          <w:i/>
          <w:iCs/>
          <w:sz w:val="26"/>
          <w:szCs w:val="26"/>
          <w:lang w:val="es-ES"/>
        </w:rPr>
      </w:pPr>
      <w:r>
        <w:rPr>
          <w:rFonts w:ascii="Arial" w:hAnsi="Arial" w:cs="Arial"/>
          <w:sz w:val="26"/>
          <w:szCs w:val="26"/>
          <w:lang w:val="es-ES_tradnl"/>
        </w:rPr>
        <w:t>El artículo 64, fracción I, contempla “… Ayuntamiento de que se trate…” al ser este Reglamento aplicable a este Ayuntamiento, en todo momento se tratará el Ayuntamiento de Cuernavaca.</w:t>
      </w:r>
    </w:p>
    <w:p w14:paraId="0F45CDDF" w14:textId="5FDC804D" w:rsidR="004779B0" w:rsidRPr="004779B0" w:rsidRDefault="004779B0" w:rsidP="00CD5640">
      <w:pPr>
        <w:pStyle w:val="Prrafodelista"/>
        <w:numPr>
          <w:ilvl w:val="0"/>
          <w:numId w:val="6"/>
        </w:numPr>
        <w:tabs>
          <w:tab w:val="left" w:pos="8931"/>
        </w:tabs>
        <w:jc w:val="both"/>
        <w:rPr>
          <w:rFonts w:ascii="Arial" w:hAnsi="Arial" w:cs="Arial"/>
          <w:i/>
          <w:iCs/>
          <w:sz w:val="26"/>
          <w:szCs w:val="26"/>
          <w:lang w:val="es-ES"/>
        </w:rPr>
      </w:pPr>
      <w:r>
        <w:rPr>
          <w:rFonts w:ascii="Arial" w:hAnsi="Arial" w:cs="Arial"/>
          <w:sz w:val="26"/>
          <w:szCs w:val="26"/>
          <w:lang w:val="es-ES"/>
        </w:rPr>
        <w:t xml:space="preserve">El artículo 86 del texto normativo en estudio contempla la supletoriedad del Reglamento, del cual se advierte que el </w:t>
      </w:r>
      <w:r w:rsidRPr="004779B0">
        <w:rPr>
          <w:rFonts w:ascii="Arial" w:hAnsi="Arial" w:cs="Arial"/>
          <w:b/>
          <w:bCs/>
          <w:sz w:val="26"/>
          <w:szCs w:val="26"/>
          <w:u w:val="single"/>
          <w:lang w:val="es-ES"/>
        </w:rPr>
        <w:t>Código de Procedimientos Penales del Estado de Morelos</w:t>
      </w:r>
      <w:r>
        <w:rPr>
          <w:rFonts w:ascii="Arial" w:hAnsi="Arial" w:cs="Arial"/>
          <w:sz w:val="26"/>
          <w:szCs w:val="26"/>
          <w:lang w:val="es-ES"/>
        </w:rPr>
        <w:t xml:space="preserve">, ya fue abrogado desde la entrada en vigencia del Código Nacional de Procedimientos Penales, además que, al contemplar infracciones al entorno urbano, a la dignidad de </w:t>
      </w:r>
      <w:r>
        <w:rPr>
          <w:rFonts w:ascii="Arial" w:hAnsi="Arial" w:cs="Arial"/>
          <w:sz w:val="26"/>
          <w:szCs w:val="26"/>
          <w:lang w:val="es-ES"/>
        </w:rPr>
        <w:lastRenderedPageBreak/>
        <w:t>las personas, tranquilidad de las personas y la seguridad ciudadana, se sugiere contemplar también las propias Leyes de cada materia.</w:t>
      </w:r>
    </w:p>
    <w:p w14:paraId="52E1457F" w14:textId="24C33BDC" w:rsidR="00387382" w:rsidRPr="00387382" w:rsidRDefault="004779B0" w:rsidP="00387382">
      <w:pPr>
        <w:pStyle w:val="Prrafodelista"/>
        <w:numPr>
          <w:ilvl w:val="0"/>
          <w:numId w:val="6"/>
        </w:numPr>
        <w:tabs>
          <w:tab w:val="left" w:pos="8931"/>
        </w:tabs>
        <w:jc w:val="both"/>
        <w:rPr>
          <w:rFonts w:ascii="Arial" w:hAnsi="Arial" w:cs="Arial"/>
          <w:i/>
          <w:iCs/>
          <w:sz w:val="26"/>
          <w:szCs w:val="26"/>
          <w:lang w:val="es-ES"/>
        </w:rPr>
      </w:pPr>
      <w:r>
        <w:rPr>
          <w:rFonts w:ascii="Arial" w:hAnsi="Arial" w:cs="Arial"/>
          <w:sz w:val="26"/>
          <w:szCs w:val="26"/>
          <w:lang w:val="es-ES"/>
        </w:rPr>
        <w:t xml:space="preserve">Sin perjuicio del requisito de </w:t>
      </w:r>
      <w:r w:rsidRPr="004779B0">
        <w:rPr>
          <w:rFonts w:ascii="Arial" w:hAnsi="Arial" w:cs="Arial"/>
          <w:i/>
          <w:iCs/>
          <w:sz w:val="26"/>
          <w:szCs w:val="26"/>
          <w:lang w:val="es-ES"/>
        </w:rPr>
        <w:t>Realismo</w:t>
      </w:r>
      <w:r>
        <w:rPr>
          <w:rFonts w:ascii="Arial" w:hAnsi="Arial" w:cs="Arial"/>
          <w:sz w:val="26"/>
          <w:szCs w:val="26"/>
          <w:lang w:val="es-ES"/>
        </w:rPr>
        <w:t xml:space="preserve">, que se analizará en el apartado correspondiente, lo dispuesto por el Capítulo </w:t>
      </w:r>
      <w:r w:rsidR="00387382">
        <w:rPr>
          <w:rFonts w:ascii="Arial" w:hAnsi="Arial" w:cs="Arial"/>
          <w:sz w:val="26"/>
          <w:szCs w:val="26"/>
          <w:lang w:val="es-ES"/>
        </w:rPr>
        <w:t>XI</w:t>
      </w:r>
      <w:r>
        <w:rPr>
          <w:rFonts w:ascii="Arial" w:hAnsi="Arial" w:cs="Arial"/>
          <w:sz w:val="26"/>
          <w:szCs w:val="26"/>
          <w:lang w:val="es-ES"/>
        </w:rPr>
        <w:t>, se duplica innecesariamente con el Capítulo</w:t>
      </w:r>
      <w:r w:rsidR="00387382">
        <w:rPr>
          <w:rFonts w:ascii="Arial" w:hAnsi="Arial" w:cs="Arial"/>
          <w:sz w:val="26"/>
          <w:szCs w:val="26"/>
          <w:lang w:val="es-ES"/>
        </w:rPr>
        <w:t xml:space="preserve"> XV, salvo de ciertas diferencias mínimas, puesto que el</w:t>
      </w:r>
      <w:r w:rsidR="00387382" w:rsidRPr="00387382">
        <w:rPr>
          <w:rFonts w:ascii="Arial" w:hAnsi="Arial" w:cs="Arial"/>
          <w:sz w:val="26"/>
          <w:szCs w:val="26"/>
          <w:lang w:val="es-ES"/>
        </w:rPr>
        <w:t xml:space="preserve"> capítulo se llama “Medios alternativos de solución de conflictos</w:t>
      </w:r>
      <w:r w:rsidR="00387382">
        <w:rPr>
          <w:rFonts w:ascii="Arial" w:hAnsi="Arial" w:cs="Arial"/>
          <w:sz w:val="26"/>
          <w:szCs w:val="26"/>
          <w:lang w:val="es-ES"/>
        </w:rPr>
        <w:t xml:space="preserve"> (MASC)</w:t>
      </w:r>
      <w:r w:rsidR="00387382" w:rsidRPr="00387382">
        <w:rPr>
          <w:rFonts w:ascii="Arial" w:hAnsi="Arial" w:cs="Arial"/>
          <w:sz w:val="26"/>
          <w:szCs w:val="26"/>
          <w:lang w:val="es-ES"/>
        </w:rPr>
        <w:t>”, pero inicia con la queja y culmina con solo un medio que es conciliación, se sugiere cambiar la denominación de este capítulo tal cual está en la Ley</w:t>
      </w:r>
      <w:r w:rsidR="00387382">
        <w:rPr>
          <w:rFonts w:ascii="Arial" w:hAnsi="Arial" w:cs="Arial"/>
          <w:sz w:val="26"/>
          <w:szCs w:val="26"/>
          <w:lang w:val="es-ES"/>
        </w:rPr>
        <w:t xml:space="preserve"> Estatal</w:t>
      </w:r>
      <w:r w:rsidR="00387382" w:rsidRPr="00387382">
        <w:rPr>
          <w:rFonts w:ascii="Arial" w:hAnsi="Arial" w:cs="Arial"/>
          <w:sz w:val="26"/>
          <w:szCs w:val="26"/>
          <w:lang w:val="es-ES"/>
        </w:rPr>
        <w:t xml:space="preserve"> “De los procedimientos” ahora, primero se habla de este procedimiento, después del juzgado cívico, y posterior se retoman los demás procedimientos, lo cual es un error por técnica legislativa formal, pues debe respetarse el </w:t>
      </w:r>
      <w:proofErr w:type="spellStart"/>
      <w:r w:rsidR="00387382" w:rsidRPr="00387382">
        <w:rPr>
          <w:rFonts w:ascii="Arial" w:hAnsi="Arial" w:cs="Arial"/>
          <w:sz w:val="26"/>
          <w:szCs w:val="26"/>
          <w:lang w:val="es-ES"/>
        </w:rPr>
        <w:t>órden</w:t>
      </w:r>
      <w:proofErr w:type="spellEnd"/>
      <w:r w:rsidR="00387382" w:rsidRPr="00387382">
        <w:rPr>
          <w:rFonts w:ascii="Arial" w:hAnsi="Arial" w:cs="Arial"/>
          <w:sz w:val="26"/>
          <w:szCs w:val="26"/>
          <w:lang w:val="es-ES"/>
        </w:rPr>
        <w:t xml:space="preserve"> de prelación de los capítulos y su contenido.</w:t>
      </w:r>
    </w:p>
    <w:p w14:paraId="70DC3F42" w14:textId="4BCAE158" w:rsidR="00387382" w:rsidRPr="00387382" w:rsidRDefault="00387382" w:rsidP="00387382">
      <w:pPr>
        <w:pStyle w:val="Prrafodelista"/>
        <w:numPr>
          <w:ilvl w:val="0"/>
          <w:numId w:val="6"/>
        </w:numPr>
        <w:ind w:left="1276"/>
        <w:jc w:val="both"/>
        <w:rPr>
          <w:rFonts w:ascii="Arial" w:hAnsi="Arial" w:cs="Arial"/>
          <w:i/>
          <w:iCs/>
          <w:sz w:val="26"/>
          <w:szCs w:val="26"/>
          <w:lang w:val="es-ES"/>
        </w:rPr>
      </w:pPr>
      <w:r>
        <w:rPr>
          <w:rFonts w:ascii="Arial" w:hAnsi="Arial" w:cs="Arial"/>
          <w:sz w:val="26"/>
          <w:szCs w:val="26"/>
          <w:lang w:val="es-ES"/>
        </w:rPr>
        <w:t xml:space="preserve">Otra de las faltas a este requisito es lo dispuesto por el artículo 101, respecto de la detención y presentación del probable infractor ante el juez, en primer lugar, porque no establece sobre su inmediatez, tal cual lo expresa el artículo 16 </w:t>
      </w:r>
      <w:proofErr w:type="gramStart"/>
      <w:r>
        <w:rPr>
          <w:rFonts w:ascii="Arial" w:hAnsi="Arial" w:cs="Arial"/>
          <w:sz w:val="26"/>
          <w:szCs w:val="26"/>
          <w:lang w:val="es-ES"/>
        </w:rPr>
        <w:t>Constitucional,  también</w:t>
      </w:r>
      <w:proofErr w:type="gramEnd"/>
      <w:r>
        <w:rPr>
          <w:rFonts w:ascii="Arial" w:hAnsi="Arial" w:cs="Arial"/>
          <w:sz w:val="26"/>
          <w:szCs w:val="26"/>
          <w:lang w:val="es-ES"/>
        </w:rPr>
        <w:t xml:space="preserve"> resulta confusa su redacción, pues no guarda relación sus fracciones con lo mencionado en su primer párrafo, además contempla supuestos sumamente distintos a los que establece el artículo 66 de la Ley Estatal.</w:t>
      </w:r>
    </w:p>
    <w:p w14:paraId="3A3A6FD3" w14:textId="6EE0C0B3" w:rsidR="00CD5640" w:rsidRDefault="00CD5640" w:rsidP="00D60C72">
      <w:pPr>
        <w:tabs>
          <w:tab w:val="left" w:pos="8931"/>
        </w:tabs>
        <w:ind w:left="567"/>
        <w:jc w:val="both"/>
        <w:rPr>
          <w:rFonts w:ascii="Arial" w:hAnsi="Arial" w:cs="Arial"/>
          <w:sz w:val="26"/>
          <w:szCs w:val="26"/>
          <w:lang w:val="es-ES"/>
        </w:rPr>
      </w:pPr>
    </w:p>
    <w:p w14:paraId="3F4D8512" w14:textId="6149319D" w:rsidR="00CD5640" w:rsidRDefault="00387382" w:rsidP="00D60C72">
      <w:pPr>
        <w:tabs>
          <w:tab w:val="left" w:pos="8931"/>
        </w:tabs>
        <w:ind w:left="567"/>
        <w:jc w:val="both"/>
        <w:rPr>
          <w:rFonts w:ascii="Arial" w:hAnsi="Arial" w:cs="Arial"/>
          <w:i/>
          <w:iCs/>
          <w:sz w:val="26"/>
          <w:szCs w:val="26"/>
          <w:lang w:val="es-ES"/>
        </w:rPr>
      </w:pPr>
      <w:r w:rsidRPr="00387382">
        <w:rPr>
          <w:rFonts w:ascii="Arial" w:hAnsi="Arial" w:cs="Arial"/>
          <w:i/>
          <w:iCs/>
          <w:sz w:val="26"/>
          <w:szCs w:val="26"/>
          <w:lang w:val="es-ES"/>
        </w:rPr>
        <w:t>II.4. Correspondencia normativa</w:t>
      </w:r>
    </w:p>
    <w:p w14:paraId="50013930" w14:textId="2624A14D" w:rsidR="00387382" w:rsidRDefault="00387382" w:rsidP="00D60C72">
      <w:pPr>
        <w:tabs>
          <w:tab w:val="left" w:pos="8931"/>
        </w:tabs>
        <w:ind w:left="567"/>
        <w:jc w:val="both"/>
        <w:rPr>
          <w:rFonts w:ascii="Arial" w:hAnsi="Arial" w:cs="Arial"/>
          <w:sz w:val="26"/>
          <w:szCs w:val="26"/>
          <w:lang w:val="es-ES"/>
        </w:rPr>
      </w:pPr>
    </w:p>
    <w:p w14:paraId="664CDA11" w14:textId="35932641" w:rsidR="00387382" w:rsidRDefault="00387382" w:rsidP="00D60C72">
      <w:pPr>
        <w:tabs>
          <w:tab w:val="left" w:pos="8931"/>
        </w:tabs>
        <w:ind w:left="567"/>
        <w:jc w:val="both"/>
        <w:rPr>
          <w:rFonts w:ascii="Arial" w:hAnsi="Arial" w:cs="Arial"/>
          <w:sz w:val="26"/>
          <w:szCs w:val="26"/>
          <w:lang w:val="es-ES"/>
        </w:rPr>
      </w:pPr>
      <w:r>
        <w:rPr>
          <w:rFonts w:ascii="Arial" w:hAnsi="Arial" w:cs="Arial"/>
          <w:sz w:val="26"/>
          <w:szCs w:val="26"/>
          <w:lang w:val="es-ES"/>
        </w:rPr>
        <w:t>La correspondencia normativa, en cuanto fuere subordinada, será legítima como exigencia de técnica normativa.</w:t>
      </w:r>
      <w:r>
        <w:rPr>
          <w:rStyle w:val="Refdenotaalpie"/>
          <w:rFonts w:ascii="Arial" w:hAnsi="Arial" w:cs="Arial"/>
          <w:sz w:val="26"/>
          <w:szCs w:val="26"/>
          <w:lang w:val="es-ES"/>
        </w:rPr>
        <w:footnoteReference w:id="7"/>
      </w:r>
    </w:p>
    <w:p w14:paraId="692F48D4" w14:textId="5609D637" w:rsidR="00634247" w:rsidRDefault="00634247" w:rsidP="00D60C72">
      <w:pPr>
        <w:tabs>
          <w:tab w:val="left" w:pos="8931"/>
        </w:tabs>
        <w:ind w:left="567"/>
        <w:jc w:val="both"/>
        <w:rPr>
          <w:rFonts w:ascii="Arial" w:hAnsi="Arial" w:cs="Arial"/>
          <w:sz w:val="26"/>
          <w:szCs w:val="26"/>
          <w:lang w:val="es-ES"/>
        </w:rPr>
      </w:pPr>
    </w:p>
    <w:p w14:paraId="526BD6B8" w14:textId="1EEE90F5" w:rsidR="00634247" w:rsidRDefault="00634247" w:rsidP="00D60C72">
      <w:pPr>
        <w:tabs>
          <w:tab w:val="left" w:pos="8931"/>
        </w:tabs>
        <w:ind w:left="567"/>
        <w:jc w:val="both"/>
        <w:rPr>
          <w:rFonts w:ascii="Arial" w:hAnsi="Arial" w:cs="Arial"/>
          <w:sz w:val="26"/>
          <w:szCs w:val="26"/>
          <w:lang w:val="es-ES"/>
        </w:rPr>
      </w:pPr>
      <w:r>
        <w:rPr>
          <w:rFonts w:ascii="Arial" w:hAnsi="Arial" w:cs="Arial"/>
          <w:sz w:val="26"/>
          <w:szCs w:val="26"/>
          <w:lang w:val="es-ES"/>
        </w:rPr>
        <w:t xml:space="preserve">En tal sentido, como anticipé en párrafos precedentes, el Reglamento en estudio es el resultado de armonizar la Ley de </w:t>
      </w:r>
      <w:r>
        <w:rPr>
          <w:rFonts w:ascii="Arial" w:hAnsi="Arial" w:cs="Arial"/>
          <w:sz w:val="26"/>
          <w:szCs w:val="26"/>
          <w:lang w:val="es-ES"/>
        </w:rPr>
        <w:lastRenderedPageBreak/>
        <w:t>Cultura Cívica del Estado de Morelos, además de contemplar atribuciones que el propio Reglamento Interior de la Sindicatura Municipal del Ayuntamiento de Cuernavaca, Morelos.</w:t>
      </w:r>
    </w:p>
    <w:p w14:paraId="413BBE4D" w14:textId="2C006BC3" w:rsidR="00634247" w:rsidRDefault="00634247" w:rsidP="00D60C72">
      <w:pPr>
        <w:tabs>
          <w:tab w:val="left" w:pos="8931"/>
        </w:tabs>
        <w:ind w:left="567"/>
        <w:jc w:val="both"/>
        <w:rPr>
          <w:rFonts w:ascii="Arial" w:hAnsi="Arial" w:cs="Arial"/>
          <w:sz w:val="26"/>
          <w:szCs w:val="26"/>
          <w:lang w:val="es-ES"/>
        </w:rPr>
      </w:pPr>
    </w:p>
    <w:p w14:paraId="2732DEE0" w14:textId="64EC23FD" w:rsidR="00634247" w:rsidRDefault="00634247" w:rsidP="00D60C72">
      <w:pPr>
        <w:tabs>
          <w:tab w:val="left" w:pos="8931"/>
        </w:tabs>
        <w:ind w:left="567"/>
        <w:jc w:val="both"/>
        <w:rPr>
          <w:rFonts w:ascii="Arial" w:hAnsi="Arial" w:cs="Arial"/>
          <w:sz w:val="26"/>
          <w:szCs w:val="26"/>
          <w:lang w:val="es-ES"/>
        </w:rPr>
      </w:pPr>
      <w:r>
        <w:rPr>
          <w:rFonts w:ascii="Arial" w:hAnsi="Arial" w:cs="Arial"/>
          <w:sz w:val="26"/>
          <w:szCs w:val="26"/>
          <w:lang w:val="es-ES"/>
        </w:rPr>
        <w:t>En esta coyuntura, la correspondencia normativa no es más que hacer la remisión expresa a lo que ya contemplan las normas vigentes, a las que la propuesta en estudio obedece su jerarquía, pues su falta de remisión redunda en una duplicidad de disposiciones o bien, provocan resultados o efectos distintos a los que se persiguen en las normas de mayor rango jerárquico.</w:t>
      </w:r>
    </w:p>
    <w:p w14:paraId="3BE47D9C" w14:textId="47B39B91" w:rsidR="00634247" w:rsidRDefault="00634247" w:rsidP="00D60C72">
      <w:pPr>
        <w:tabs>
          <w:tab w:val="left" w:pos="8931"/>
        </w:tabs>
        <w:ind w:left="567"/>
        <w:jc w:val="both"/>
        <w:rPr>
          <w:rFonts w:ascii="Arial" w:hAnsi="Arial" w:cs="Arial"/>
          <w:sz w:val="26"/>
          <w:szCs w:val="26"/>
          <w:lang w:val="es-ES"/>
        </w:rPr>
      </w:pPr>
    </w:p>
    <w:p w14:paraId="5063F7F8" w14:textId="0E2CA6A2" w:rsidR="00634247" w:rsidRDefault="00634247" w:rsidP="00D60C72">
      <w:pPr>
        <w:tabs>
          <w:tab w:val="left" w:pos="8931"/>
        </w:tabs>
        <w:ind w:left="567"/>
        <w:jc w:val="both"/>
        <w:rPr>
          <w:rFonts w:ascii="Arial" w:hAnsi="Arial" w:cs="Arial"/>
          <w:sz w:val="26"/>
          <w:szCs w:val="26"/>
          <w:lang w:val="es-ES"/>
        </w:rPr>
      </w:pPr>
      <w:r>
        <w:rPr>
          <w:rFonts w:ascii="Arial" w:hAnsi="Arial" w:cs="Arial"/>
          <w:sz w:val="26"/>
          <w:szCs w:val="26"/>
          <w:lang w:val="es-ES"/>
        </w:rPr>
        <w:t xml:space="preserve">Dicho requisito no es respetado por los artículos 11, 13, 19, 20, 47, 57, 60, Capítulo XI, </w:t>
      </w:r>
      <w:r w:rsidR="00F40C99">
        <w:rPr>
          <w:rFonts w:ascii="Arial" w:hAnsi="Arial" w:cs="Arial"/>
          <w:sz w:val="26"/>
          <w:szCs w:val="26"/>
          <w:lang w:val="es-ES"/>
        </w:rPr>
        <w:t>del texto en estudio.</w:t>
      </w:r>
    </w:p>
    <w:p w14:paraId="62014867" w14:textId="6643700E" w:rsidR="00F40C99" w:rsidRDefault="00F40C99" w:rsidP="00D60C72">
      <w:pPr>
        <w:tabs>
          <w:tab w:val="left" w:pos="8931"/>
        </w:tabs>
        <w:ind w:left="567"/>
        <w:jc w:val="both"/>
        <w:rPr>
          <w:rFonts w:ascii="Arial" w:hAnsi="Arial" w:cs="Arial"/>
          <w:sz w:val="26"/>
          <w:szCs w:val="26"/>
          <w:lang w:val="es-ES"/>
        </w:rPr>
      </w:pPr>
    </w:p>
    <w:p w14:paraId="442EC4B8" w14:textId="24AA7B69" w:rsidR="00F40C99" w:rsidRDefault="00F40C99" w:rsidP="00D60C72">
      <w:pPr>
        <w:tabs>
          <w:tab w:val="left" w:pos="8931"/>
        </w:tabs>
        <w:ind w:left="567"/>
        <w:jc w:val="both"/>
        <w:rPr>
          <w:rFonts w:ascii="Arial" w:hAnsi="Arial" w:cs="Arial"/>
          <w:i/>
          <w:iCs/>
          <w:sz w:val="26"/>
          <w:szCs w:val="26"/>
          <w:lang w:val="es-ES"/>
        </w:rPr>
      </w:pPr>
      <w:r w:rsidRPr="00F40C99">
        <w:rPr>
          <w:rFonts w:ascii="Arial" w:hAnsi="Arial" w:cs="Arial"/>
          <w:i/>
          <w:iCs/>
          <w:sz w:val="26"/>
          <w:szCs w:val="26"/>
          <w:lang w:val="es-ES"/>
        </w:rPr>
        <w:t>II.5. Realismo del acto normativo</w:t>
      </w:r>
    </w:p>
    <w:p w14:paraId="3B4D412A" w14:textId="1DC9AFD1" w:rsidR="00F40C99" w:rsidRDefault="00F40C99" w:rsidP="00D60C72">
      <w:pPr>
        <w:tabs>
          <w:tab w:val="left" w:pos="8931"/>
        </w:tabs>
        <w:ind w:left="567"/>
        <w:jc w:val="both"/>
        <w:rPr>
          <w:rFonts w:ascii="Arial" w:hAnsi="Arial" w:cs="Arial"/>
          <w:i/>
          <w:iCs/>
          <w:sz w:val="26"/>
          <w:szCs w:val="26"/>
          <w:lang w:val="es-ES"/>
        </w:rPr>
      </w:pPr>
    </w:p>
    <w:p w14:paraId="5D6AAA4F" w14:textId="271C12F3" w:rsidR="00F40C99" w:rsidRDefault="00F40C99" w:rsidP="00D60C72">
      <w:pPr>
        <w:tabs>
          <w:tab w:val="left" w:pos="8931"/>
        </w:tabs>
        <w:ind w:left="567"/>
        <w:jc w:val="both"/>
        <w:rPr>
          <w:rFonts w:ascii="Arial" w:hAnsi="Arial" w:cs="Arial"/>
          <w:sz w:val="26"/>
          <w:szCs w:val="26"/>
          <w:lang w:val="es-ES"/>
        </w:rPr>
      </w:pPr>
      <w:r>
        <w:rPr>
          <w:rFonts w:ascii="Arial" w:hAnsi="Arial" w:cs="Arial"/>
          <w:sz w:val="26"/>
          <w:szCs w:val="26"/>
          <w:lang w:val="es-ES"/>
        </w:rPr>
        <w:t>Dicho requisito obedece a que las normas a implementar deben ser convenientes y plenamente conocidas para que sus resultados sociales se consigan de manera eficiente y clara.</w:t>
      </w:r>
    </w:p>
    <w:p w14:paraId="7B0FC306" w14:textId="26B9B9B6" w:rsidR="00F40C99" w:rsidRDefault="00F40C99" w:rsidP="00D60C72">
      <w:pPr>
        <w:tabs>
          <w:tab w:val="left" w:pos="8931"/>
        </w:tabs>
        <w:ind w:left="567"/>
        <w:jc w:val="both"/>
        <w:rPr>
          <w:rFonts w:ascii="Arial" w:hAnsi="Arial" w:cs="Arial"/>
          <w:sz w:val="26"/>
          <w:szCs w:val="26"/>
          <w:lang w:val="es-ES"/>
        </w:rPr>
      </w:pPr>
    </w:p>
    <w:p w14:paraId="3E1650C3" w14:textId="2334E87A" w:rsidR="00F40C99" w:rsidRDefault="00F40C99" w:rsidP="00D60C72">
      <w:pPr>
        <w:tabs>
          <w:tab w:val="left" w:pos="8931"/>
        </w:tabs>
        <w:ind w:left="567"/>
        <w:jc w:val="both"/>
        <w:rPr>
          <w:rFonts w:ascii="Arial" w:hAnsi="Arial" w:cs="Arial"/>
          <w:sz w:val="26"/>
          <w:szCs w:val="26"/>
          <w:lang w:val="es-ES"/>
        </w:rPr>
      </w:pPr>
      <w:r>
        <w:rPr>
          <w:rFonts w:ascii="Arial" w:hAnsi="Arial" w:cs="Arial"/>
          <w:sz w:val="26"/>
          <w:szCs w:val="26"/>
          <w:lang w:val="es-ES"/>
        </w:rPr>
        <w:t>En tal virtud, el Capítulo XI, relativo a los Medios Alternativos a la Solución de Controversias, se estima, debe adecuarse de tal forma estén más acorde a los principios de dichos medios.</w:t>
      </w:r>
    </w:p>
    <w:p w14:paraId="3FC7443F" w14:textId="5A91FA01" w:rsidR="00F40C99" w:rsidRDefault="00F40C99" w:rsidP="00D60C72">
      <w:pPr>
        <w:tabs>
          <w:tab w:val="left" w:pos="8931"/>
        </w:tabs>
        <w:ind w:left="567"/>
        <w:jc w:val="both"/>
        <w:rPr>
          <w:rFonts w:ascii="Arial" w:hAnsi="Arial" w:cs="Arial"/>
          <w:sz w:val="26"/>
          <w:szCs w:val="26"/>
          <w:lang w:val="es-ES"/>
        </w:rPr>
      </w:pPr>
    </w:p>
    <w:p w14:paraId="2D30DF64" w14:textId="30A8F88F" w:rsidR="00F40C99" w:rsidRDefault="00F40C99" w:rsidP="00D60C72">
      <w:pPr>
        <w:tabs>
          <w:tab w:val="left" w:pos="8931"/>
        </w:tabs>
        <w:ind w:left="567"/>
        <w:jc w:val="both"/>
        <w:rPr>
          <w:rFonts w:ascii="Arial" w:hAnsi="Arial" w:cs="Arial"/>
          <w:sz w:val="26"/>
          <w:szCs w:val="26"/>
        </w:rPr>
      </w:pPr>
      <w:r w:rsidRPr="00F40C99">
        <w:rPr>
          <w:rFonts w:ascii="Arial" w:hAnsi="Arial" w:cs="Arial"/>
          <w:sz w:val="26"/>
          <w:szCs w:val="26"/>
        </w:rPr>
        <w:t>Los medios alternos no parten del uso coactivo de la autoridad, sino de la voluntad de los participantes; se trata de un acto entre particulares en el cual no existe relación de subordinación, como en el caso del juzgador. Es un acuerdo de voluntades de los sujetos involucrados lo que pone fin a sus diferencias, partiendo de la máxima en los contratos: el acuerdo de voluntades, sin que exista coerción alguna.</w:t>
      </w:r>
      <w:r>
        <w:rPr>
          <w:rStyle w:val="Refdenotaalpie"/>
          <w:rFonts w:ascii="Arial" w:hAnsi="Arial" w:cs="Arial"/>
          <w:sz w:val="26"/>
          <w:szCs w:val="26"/>
        </w:rPr>
        <w:footnoteReference w:id="8"/>
      </w:r>
    </w:p>
    <w:p w14:paraId="5D546209" w14:textId="0941D62E" w:rsidR="00F40C99" w:rsidRDefault="00F40C99" w:rsidP="00D60C72">
      <w:pPr>
        <w:tabs>
          <w:tab w:val="left" w:pos="8931"/>
        </w:tabs>
        <w:ind w:left="567"/>
        <w:jc w:val="both"/>
        <w:rPr>
          <w:rFonts w:ascii="Arial" w:hAnsi="Arial" w:cs="Arial"/>
          <w:sz w:val="26"/>
          <w:szCs w:val="26"/>
        </w:rPr>
      </w:pPr>
    </w:p>
    <w:p w14:paraId="503F03D0" w14:textId="77777777" w:rsidR="00E05091" w:rsidRDefault="00F40C99" w:rsidP="00E05091">
      <w:pPr>
        <w:tabs>
          <w:tab w:val="left" w:pos="8931"/>
        </w:tabs>
        <w:ind w:left="567"/>
        <w:jc w:val="both"/>
        <w:rPr>
          <w:rFonts w:ascii="Arial" w:hAnsi="Arial" w:cs="Arial"/>
          <w:sz w:val="26"/>
          <w:szCs w:val="26"/>
          <w:lang w:val="es-ES"/>
        </w:rPr>
      </w:pPr>
      <w:r>
        <w:rPr>
          <w:rFonts w:ascii="Arial" w:hAnsi="Arial" w:cs="Arial"/>
          <w:sz w:val="26"/>
          <w:szCs w:val="26"/>
          <w:lang w:val="es-ES"/>
        </w:rPr>
        <w:lastRenderedPageBreak/>
        <w:t>En ese sentido, existen diversos principios que</w:t>
      </w:r>
      <w:r w:rsidR="00E05091">
        <w:rPr>
          <w:rFonts w:ascii="Arial" w:hAnsi="Arial" w:cs="Arial"/>
          <w:sz w:val="26"/>
          <w:szCs w:val="26"/>
          <w:lang w:val="es-ES"/>
        </w:rPr>
        <w:t xml:space="preserve"> caracterizan a los MASC, como lo son voluntariedad, confidencialidad, imparcialidad, flexibilidad, neutralidad, legalidad, equidad y honestidad,</w:t>
      </w:r>
      <w:r w:rsidR="00E05091">
        <w:rPr>
          <w:rStyle w:val="Refdenotaalpie"/>
          <w:rFonts w:ascii="Arial" w:hAnsi="Arial" w:cs="Arial"/>
          <w:sz w:val="26"/>
          <w:szCs w:val="26"/>
          <w:lang w:val="es-ES"/>
        </w:rPr>
        <w:footnoteReference w:id="9"/>
      </w:r>
      <w:r w:rsidR="00E05091">
        <w:rPr>
          <w:rFonts w:ascii="Arial" w:hAnsi="Arial" w:cs="Arial"/>
          <w:sz w:val="26"/>
          <w:szCs w:val="26"/>
          <w:lang w:val="es-ES"/>
        </w:rPr>
        <w:t xml:space="preserve"> principios que faltan abundarse en el Capítulo antes mencionado.</w:t>
      </w:r>
    </w:p>
    <w:p w14:paraId="44E79FD8" w14:textId="77777777" w:rsidR="00E05091" w:rsidRDefault="00E05091" w:rsidP="00E05091">
      <w:pPr>
        <w:tabs>
          <w:tab w:val="left" w:pos="8931"/>
        </w:tabs>
        <w:ind w:left="567"/>
        <w:jc w:val="both"/>
        <w:rPr>
          <w:rFonts w:ascii="Arial" w:hAnsi="Arial" w:cs="Arial"/>
          <w:sz w:val="26"/>
          <w:szCs w:val="26"/>
          <w:lang w:val="es-ES"/>
        </w:rPr>
      </w:pPr>
    </w:p>
    <w:p w14:paraId="3B85E080" w14:textId="05FF5902" w:rsidR="00E05091" w:rsidRDefault="00E05091" w:rsidP="00E05091">
      <w:pPr>
        <w:tabs>
          <w:tab w:val="left" w:pos="8931"/>
        </w:tabs>
        <w:ind w:left="567"/>
        <w:jc w:val="both"/>
        <w:rPr>
          <w:rFonts w:ascii="Arial" w:hAnsi="Arial" w:cs="Arial"/>
          <w:b/>
          <w:bCs/>
          <w:sz w:val="26"/>
          <w:szCs w:val="26"/>
          <w:lang w:val="es-ES"/>
        </w:rPr>
      </w:pPr>
      <w:r w:rsidRPr="00E05091">
        <w:rPr>
          <w:rFonts w:ascii="Arial" w:hAnsi="Arial" w:cs="Arial"/>
          <w:b/>
          <w:bCs/>
          <w:sz w:val="26"/>
          <w:szCs w:val="26"/>
          <w:lang w:val="es-ES"/>
        </w:rPr>
        <w:t>III. TÉCNICA LEGISLATIVA FORMAL</w:t>
      </w:r>
    </w:p>
    <w:p w14:paraId="30066085" w14:textId="35892702" w:rsidR="00E05091" w:rsidRDefault="00E05091" w:rsidP="00E05091">
      <w:pPr>
        <w:tabs>
          <w:tab w:val="left" w:pos="8931"/>
        </w:tabs>
        <w:ind w:left="567"/>
        <w:jc w:val="both"/>
        <w:rPr>
          <w:rFonts w:ascii="Arial" w:hAnsi="Arial" w:cs="Arial"/>
          <w:b/>
          <w:bCs/>
          <w:sz w:val="26"/>
          <w:szCs w:val="26"/>
          <w:lang w:val="es-ES"/>
        </w:rPr>
      </w:pPr>
    </w:p>
    <w:p w14:paraId="69AA41FA" w14:textId="6511F0C8" w:rsidR="003029CE" w:rsidRDefault="003029CE" w:rsidP="00E05091">
      <w:pPr>
        <w:tabs>
          <w:tab w:val="left" w:pos="8931"/>
        </w:tabs>
        <w:ind w:left="567"/>
        <w:jc w:val="both"/>
        <w:rPr>
          <w:rFonts w:ascii="Arial" w:hAnsi="Arial" w:cs="Arial"/>
          <w:sz w:val="26"/>
          <w:szCs w:val="26"/>
          <w:lang w:val="es-ES"/>
        </w:rPr>
      </w:pPr>
      <w:r>
        <w:rPr>
          <w:rFonts w:ascii="Arial" w:hAnsi="Arial" w:cs="Arial"/>
          <w:sz w:val="26"/>
          <w:szCs w:val="26"/>
          <w:lang w:val="es-ES"/>
        </w:rPr>
        <w:t>Las reglas de técnica legislativa formal inciden en la eficacia y conveniencia de los textos normativos.</w:t>
      </w:r>
    </w:p>
    <w:p w14:paraId="4CE11296" w14:textId="77777777" w:rsidR="003029CE" w:rsidRPr="003029CE" w:rsidRDefault="003029CE" w:rsidP="00E05091">
      <w:pPr>
        <w:tabs>
          <w:tab w:val="left" w:pos="8931"/>
        </w:tabs>
        <w:ind w:left="567"/>
        <w:jc w:val="both"/>
        <w:rPr>
          <w:rFonts w:ascii="Arial" w:hAnsi="Arial" w:cs="Arial"/>
          <w:sz w:val="26"/>
          <w:szCs w:val="26"/>
          <w:lang w:val="es-ES"/>
        </w:rPr>
      </w:pPr>
    </w:p>
    <w:p w14:paraId="430209E9" w14:textId="482A33A2" w:rsidR="00E05091" w:rsidRDefault="00E05091" w:rsidP="00E05091">
      <w:pPr>
        <w:tabs>
          <w:tab w:val="left" w:pos="8931"/>
        </w:tabs>
        <w:ind w:left="567"/>
        <w:jc w:val="both"/>
        <w:rPr>
          <w:rFonts w:ascii="Arial" w:hAnsi="Arial" w:cs="Arial"/>
          <w:i/>
          <w:iCs/>
          <w:sz w:val="26"/>
          <w:szCs w:val="26"/>
          <w:lang w:val="es-ES"/>
        </w:rPr>
      </w:pPr>
      <w:r w:rsidRPr="00E05091">
        <w:rPr>
          <w:rFonts w:ascii="Arial" w:hAnsi="Arial" w:cs="Arial"/>
          <w:i/>
          <w:iCs/>
          <w:sz w:val="26"/>
          <w:szCs w:val="26"/>
          <w:lang w:val="es-ES"/>
        </w:rPr>
        <w:t>III.1. Vocabulario</w:t>
      </w:r>
    </w:p>
    <w:p w14:paraId="160BA7C5" w14:textId="582FE2D8" w:rsidR="00E05091" w:rsidRDefault="00E05091" w:rsidP="00E05091">
      <w:pPr>
        <w:tabs>
          <w:tab w:val="left" w:pos="8931"/>
        </w:tabs>
        <w:ind w:left="567"/>
        <w:jc w:val="both"/>
        <w:rPr>
          <w:rFonts w:ascii="Arial" w:hAnsi="Arial" w:cs="Arial"/>
          <w:sz w:val="26"/>
          <w:szCs w:val="26"/>
          <w:lang w:val="es-ES"/>
        </w:rPr>
      </w:pPr>
    </w:p>
    <w:p w14:paraId="401E4DBD" w14:textId="0ACF3F00" w:rsidR="00E05091" w:rsidRDefault="00E05091" w:rsidP="00E05091">
      <w:pPr>
        <w:pStyle w:val="Prrafodelista"/>
        <w:numPr>
          <w:ilvl w:val="0"/>
          <w:numId w:val="9"/>
        </w:numPr>
        <w:tabs>
          <w:tab w:val="left" w:pos="8931"/>
        </w:tabs>
        <w:jc w:val="both"/>
        <w:rPr>
          <w:rFonts w:ascii="Arial" w:hAnsi="Arial" w:cs="Arial"/>
          <w:sz w:val="26"/>
          <w:szCs w:val="26"/>
          <w:lang w:val="es-ES"/>
        </w:rPr>
      </w:pPr>
      <w:r>
        <w:rPr>
          <w:rFonts w:ascii="Arial" w:hAnsi="Arial" w:cs="Arial"/>
          <w:sz w:val="26"/>
          <w:szCs w:val="26"/>
          <w:lang w:val="es-ES"/>
        </w:rPr>
        <w:t>No obstante los requisitos antes mencionados, resulta conveniente cambiar todo lo referente a “menores de edad” por lo correctamente dicho “niñas, niños y adolescentes”, las repeticiones lexicológicas en los cuerpos legales, aunque aparentemente atenten contra su valor literario, en la medida en que respondan a la preocupación de preservar su claridad, constituyen una exigencia.</w:t>
      </w:r>
    </w:p>
    <w:p w14:paraId="4BB091D4" w14:textId="3E6AD0F1" w:rsidR="00E05091" w:rsidRDefault="00E05091" w:rsidP="00E05091">
      <w:pPr>
        <w:pStyle w:val="Prrafodelista"/>
        <w:numPr>
          <w:ilvl w:val="0"/>
          <w:numId w:val="9"/>
        </w:numPr>
        <w:tabs>
          <w:tab w:val="left" w:pos="8931"/>
        </w:tabs>
        <w:jc w:val="both"/>
        <w:rPr>
          <w:rFonts w:ascii="Arial" w:hAnsi="Arial" w:cs="Arial"/>
          <w:sz w:val="26"/>
          <w:szCs w:val="26"/>
          <w:lang w:val="es-ES"/>
        </w:rPr>
      </w:pPr>
      <w:r>
        <w:rPr>
          <w:rFonts w:ascii="Arial" w:hAnsi="Arial" w:cs="Arial"/>
          <w:sz w:val="26"/>
          <w:szCs w:val="26"/>
          <w:lang w:val="es-ES"/>
        </w:rPr>
        <w:t xml:space="preserve">El artículo 12 que establece </w:t>
      </w:r>
      <w:r w:rsidRPr="00E05091">
        <w:rPr>
          <w:rFonts w:ascii="Arial" w:hAnsi="Arial" w:cs="Arial"/>
          <w:i/>
          <w:iCs/>
          <w:sz w:val="26"/>
          <w:szCs w:val="26"/>
          <w:lang w:val="es-ES"/>
        </w:rPr>
        <w:t>“…propuestos por el o la…”</w:t>
      </w:r>
      <w:r>
        <w:rPr>
          <w:rFonts w:ascii="Arial" w:hAnsi="Arial" w:cs="Arial"/>
          <w:sz w:val="26"/>
          <w:szCs w:val="26"/>
          <w:lang w:val="es-ES"/>
        </w:rPr>
        <w:t xml:space="preserve"> puede ser modificado por </w:t>
      </w:r>
      <w:r w:rsidRPr="00E05091">
        <w:rPr>
          <w:rFonts w:ascii="Arial" w:hAnsi="Arial" w:cs="Arial"/>
          <w:i/>
          <w:iCs/>
          <w:sz w:val="26"/>
          <w:szCs w:val="26"/>
          <w:lang w:val="es-ES"/>
        </w:rPr>
        <w:t>“la persona titular”</w:t>
      </w:r>
      <w:r>
        <w:rPr>
          <w:rFonts w:ascii="Arial" w:hAnsi="Arial" w:cs="Arial"/>
          <w:sz w:val="26"/>
          <w:szCs w:val="26"/>
          <w:lang w:val="es-ES"/>
        </w:rPr>
        <w:t>.</w:t>
      </w:r>
    </w:p>
    <w:p w14:paraId="22DE78B5" w14:textId="7D924DFF" w:rsidR="00E05091" w:rsidRDefault="00E05091" w:rsidP="00E05091">
      <w:pPr>
        <w:pStyle w:val="Prrafodelista"/>
        <w:numPr>
          <w:ilvl w:val="0"/>
          <w:numId w:val="9"/>
        </w:numPr>
        <w:tabs>
          <w:tab w:val="left" w:pos="8931"/>
        </w:tabs>
        <w:jc w:val="both"/>
        <w:rPr>
          <w:rFonts w:ascii="Arial" w:hAnsi="Arial" w:cs="Arial"/>
          <w:sz w:val="26"/>
          <w:szCs w:val="26"/>
          <w:lang w:val="es-ES"/>
        </w:rPr>
      </w:pPr>
      <w:r>
        <w:rPr>
          <w:rFonts w:ascii="Arial" w:hAnsi="Arial" w:cs="Arial"/>
          <w:sz w:val="26"/>
          <w:szCs w:val="26"/>
          <w:lang w:val="es-ES"/>
        </w:rPr>
        <w:t>Falta definirse el “Registro Municipal de Infractores”, contemplado en los artículos 13 y 80 del texto en estudio.</w:t>
      </w:r>
    </w:p>
    <w:p w14:paraId="70C722F3" w14:textId="3B5E6450" w:rsidR="00E05091" w:rsidRDefault="003029CE" w:rsidP="00E05091">
      <w:pPr>
        <w:pStyle w:val="Prrafodelista"/>
        <w:numPr>
          <w:ilvl w:val="0"/>
          <w:numId w:val="9"/>
        </w:numPr>
        <w:tabs>
          <w:tab w:val="left" w:pos="8931"/>
        </w:tabs>
        <w:jc w:val="both"/>
        <w:rPr>
          <w:rFonts w:ascii="Arial" w:hAnsi="Arial" w:cs="Arial"/>
          <w:sz w:val="26"/>
          <w:szCs w:val="26"/>
          <w:lang w:val="es-ES"/>
        </w:rPr>
      </w:pPr>
      <w:r>
        <w:rPr>
          <w:rFonts w:ascii="Arial" w:hAnsi="Arial" w:cs="Arial"/>
          <w:sz w:val="26"/>
          <w:szCs w:val="26"/>
          <w:lang w:val="es-ES"/>
        </w:rPr>
        <w:t xml:space="preserve">El artículo 56 establece “el trabajo a favor de la comunidad no deberá </w:t>
      </w:r>
      <w:r w:rsidRPr="003029CE">
        <w:rPr>
          <w:rFonts w:ascii="Arial" w:hAnsi="Arial" w:cs="Arial"/>
          <w:sz w:val="26"/>
          <w:szCs w:val="26"/>
          <w:u w:val="single"/>
          <w:lang w:val="es-ES"/>
        </w:rPr>
        <w:t>realizares</w:t>
      </w:r>
      <w:r>
        <w:rPr>
          <w:rFonts w:ascii="Arial" w:hAnsi="Arial" w:cs="Arial"/>
          <w:sz w:val="26"/>
          <w:szCs w:val="26"/>
          <w:lang w:val="es-ES"/>
        </w:rPr>
        <w:t>” lo correcto es “realizarse”;</w:t>
      </w:r>
    </w:p>
    <w:p w14:paraId="2F3B1D31" w14:textId="434BE897" w:rsidR="003029CE" w:rsidRDefault="003029CE" w:rsidP="00E05091">
      <w:pPr>
        <w:pStyle w:val="Prrafodelista"/>
        <w:numPr>
          <w:ilvl w:val="0"/>
          <w:numId w:val="9"/>
        </w:numPr>
        <w:tabs>
          <w:tab w:val="left" w:pos="8931"/>
        </w:tabs>
        <w:jc w:val="both"/>
        <w:rPr>
          <w:rFonts w:ascii="Arial" w:hAnsi="Arial" w:cs="Arial"/>
          <w:sz w:val="26"/>
          <w:szCs w:val="26"/>
          <w:lang w:val="es-ES"/>
        </w:rPr>
      </w:pPr>
      <w:r>
        <w:rPr>
          <w:rFonts w:ascii="Arial" w:hAnsi="Arial" w:cs="Arial"/>
          <w:sz w:val="26"/>
          <w:szCs w:val="26"/>
          <w:lang w:val="es-ES"/>
        </w:rPr>
        <w:t xml:space="preserve">El artículo 58 señala que “Las Medidas para Mejorar la Convivencia Cotidiana </w:t>
      </w:r>
      <w:r w:rsidRPr="003029CE">
        <w:rPr>
          <w:rFonts w:ascii="Arial" w:hAnsi="Arial" w:cs="Arial"/>
          <w:sz w:val="26"/>
          <w:szCs w:val="26"/>
          <w:u w:val="single"/>
          <w:lang w:val="es-ES"/>
        </w:rPr>
        <w:t>tiene</w:t>
      </w:r>
      <w:r>
        <w:rPr>
          <w:rFonts w:ascii="Arial" w:hAnsi="Arial" w:cs="Arial"/>
          <w:sz w:val="26"/>
          <w:szCs w:val="26"/>
          <w:lang w:val="es-ES"/>
        </w:rPr>
        <w:t>” lo correcto es “tienen”, además que faltan definirse en el apartado de definiciones de la propuesta.</w:t>
      </w:r>
    </w:p>
    <w:p w14:paraId="3811D77F" w14:textId="77777777" w:rsidR="003029CE" w:rsidRDefault="003029CE" w:rsidP="003029CE">
      <w:pPr>
        <w:pStyle w:val="Prrafodelista"/>
        <w:tabs>
          <w:tab w:val="left" w:pos="8931"/>
        </w:tabs>
        <w:ind w:left="567"/>
        <w:jc w:val="both"/>
        <w:rPr>
          <w:rFonts w:ascii="Arial" w:hAnsi="Arial" w:cs="Arial"/>
          <w:sz w:val="26"/>
          <w:szCs w:val="26"/>
          <w:lang w:val="es-ES"/>
        </w:rPr>
      </w:pPr>
    </w:p>
    <w:p w14:paraId="5226CCBC" w14:textId="1F84F51C" w:rsidR="003029CE" w:rsidRDefault="003029CE" w:rsidP="003029CE">
      <w:pPr>
        <w:pStyle w:val="Prrafodelista"/>
        <w:tabs>
          <w:tab w:val="left" w:pos="8931"/>
        </w:tabs>
        <w:ind w:left="567"/>
        <w:jc w:val="both"/>
        <w:rPr>
          <w:rFonts w:ascii="Arial" w:hAnsi="Arial" w:cs="Arial"/>
          <w:i/>
          <w:iCs/>
          <w:sz w:val="26"/>
          <w:szCs w:val="26"/>
          <w:lang w:val="es-ES"/>
        </w:rPr>
      </w:pPr>
      <w:r w:rsidRPr="003029CE">
        <w:rPr>
          <w:rFonts w:ascii="Arial" w:hAnsi="Arial" w:cs="Arial"/>
          <w:i/>
          <w:iCs/>
          <w:sz w:val="26"/>
          <w:szCs w:val="26"/>
          <w:lang w:val="es-ES"/>
        </w:rPr>
        <w:t>III.2. Sintaxis</w:t>
      </w:r>
    </w:p>
    <w:p w14:paraId="4ABC0212" w14:textId="29A850A5" w:rsidR="003029CE" w:rsidRDefault="003029CE" w:rsidP="003029CE">
      <w:pPr>
        <w:pStyle w:val="Prrafodelista"/>
        <w:tabs>
          <w:tab w:val="left" w:pos="8931"/>
        </w:tabs>
        <w:ind w:left="567"/>
        <w:jc w:val="both"/>
        <w:rPr>
          <w:rFonts w:ascii="Arial" w:hAnsi="Arial" w:cs="Arial"/>
          <w:sz w:val="26"/>
          <w:szCs w:val="26"/>
          <w:lang w:val="es-ES"/>
        </w:rPr>
      </w:pPr>
    </w:p>
    <w:p w14:paraId="392A9731" w14:textId="1BD0429D" w:rsidR="003029CE" w:rsidRDefault="003029CE" w:rsidP="003029CE">
      <w:pPr>
        <w:pStyle w:val="Prrafodelista"/>
        <w:numPr>
          <w:ilvl w:val="0"/>
          <w:numId w:val="10"/>
        </w:numPr>
        <w:tabs>
          <w:tab w:val="left" w:pos="8931"/>
        </w:tabs>
        <w:jc w:val="both"/>
        <w:rPr>
          <w:rFonts w:ascii="Arial" w:hAnsi="Arial" w:cs="Arial"/>
          <w:sz w:val="26"/>
          <w:szCs w:val="26"/>
          <w:lang w:val="es-ES"/>
        </w:rPr>
      </w:pPr>
      <w:r>
        <w:rPr>
          <w:rFonts w:ascii="Arial" w:hAnsi="Arial" w:cs="Arial"/>
          <w:sz w:val="26"/>
          <w:szCs w:val="26"/>
          <w:lang w:val="es-ES"/>
        </w:rPr>
        <w:lastRenderedPageBreak/>
        <w:t xml:space="preserve">La </w:t>
      </w:r>
      <w:proofErr w:type="gramStart"/>
      <w:r>
        <w:rPr>
          <w:rFonts w:ascii="Arial" w:hAnsi="Arial" w:cs="Arial"/>
          <w:sz w:val="26"/>
          <w:szCs w:val="26"/>
          <w:lang w:val="es-ES"/>
        </w:rPr>
        <w:t>primer falta</w:t>
      </w:r>
      <w:proofErr w:type="gramEnd"/>
      <w:r>
        <w:rPr>
          <w:rFonts w:ascii="Arial" w:hAnsi="Arial" w:cs="Arial"/>
          <w:sz w:val="26"/>
          <w:szCs w:val="26"/>
          <w:lang w:val="es-ES"/>
        </w:rPr>
        <w:t xml:space="preserve"> de sintaxis es se encuentra en el artículo 14, fracción I, que señala “Prevenir la comisión de infracciones”, dejando abierta a toda clase de infracciones, lo que produce incertidumbre jurídica e incluso duplica lo que el propio texto contempla en su primer párrafo.</w:t>
      </w:r>
    </w:p>
    <w:p w14:paraId="58CCE0D8" w14:textId="3A946C93" w:rsidR="003029CE" w:rsidRPr="00493FD8" w:rsidRDefault="003029CE" w:rsidP="003029CE">
      <w:pPr>
        <w:pStyle w:val="Prrafodelista"/>
        <w:numPr>
          <w:ilvl w:val="0"/>
          <w:numId w:val="10"/>
        </w:numPr>
        <w:tabs>
          <w:tab w:val="left" w:pos="8931"/>
        </w:tabs>
        <w:jc w:val="both"/>
        <w:rPr>
          <w:rFonts w:ascii="Arial" w:hAnsi="Arial" w:cs="Arial"/>
          <w:sz w:val="26"/>
          <w:szCs w:val="26"/>
          <w:lang w:val="es-ES"/>
        </w:rPr>
      </w:pPr>
      <w:r>
        <w:rPr>
          <w:rFonts w:ascii="Arial" w:hAnsi="Arial" w:cs="Arial"/>
          <w:sz w:val="26"/>
          <w:szCs w:val="26"/>
          <w:lang w:val="es-ES"/>
        </w:rPr>
        <w:t>Además de la falta de su correspondencia normativa, ya que existen leyes en cada materia, se sugiere que en los artículos que hablan sobre las infracciones en cada ramo que el Reglamento en estudio se mencionan, se señale, por ejemplo: “</w:t>
      </w:r>
      <w:r w:rsidRPr="003029CE">
        <w:rPr>
          <w:rFonts w:ascii="Arial" w:hAnsi="Arial" w:cs="Arial"/>
          <w:i/>
          <w:iCs/>
          <w:sz w:val="26"/>
          <w:szCs w:val="26"/>
          <w:lang w:val="es-ES"/>
        </w:rPr>
        <w:t>Además de las infracciones contempladas en la Ley del Equilibrio Ecológico y la Protección del Ambiente del Estado de Morelos,</w:t>
      </w:r>
      <w:r w:rsidR="00493FD8">
        <w:rPr>
          <w:rFonts w:ascii="Arial" w:hAnsi="Arial" w:cs="Arial"/>
          <w:i/>
          <w:iCs/>
          <w:sz w:val="26"/>
          <w:szCs w:val="26"/>
          <w:lang w:val="es-ES"/>
        </w:rPr>
        <w:t xml:space="preserve"> la Ley de Ordenamiento Territorial y Desarrollo Urbano Sustentable del Estado de Morelos,</w:t>
      </w:r>
      <w:r w:rsidRPr="003029CE">
        <w:rPr>
          <w:rFonts w:ascii="Arial" w:hAnsi="Arial" w:cs="Arial"/>
          <w:i/>
          <w:iCs/>
          <w:sz w:val="26"/>
          <w:szCs w:val="26"/>
          <w:lang w:val="es-ES"/>
        </w:rPr>
        <w:t xml:space="preserve"> son infracciones contra el entorno urbano y la salud pública de las personas las siguientes:”</w:t>
      </w:r>
      <w:r w:rsidR="00493FD8">
        <w:rPr>
          <w:rFonts w:ascii="Arial" w:hAnsi="Arial" w:cs="Arial"/>
          <w:i/>
          <w:iCs/>
          <w:sz w:val="26"/>
          <w:szCs w:val="26"/>
          <w:lang w:val="es-ES"/>
        </w:rPr>
        <w:t>.</w:t>
      </w:r>
    </w:p>
    <w:p w14:paraId="6B162601" w14:textId="3ADFEBC3" w:rsidR="00493FD8" w:rsidRDefault="00493FD8" w:rsidP="003029CE">
      <w:pPr>
        <w:pStyle w:val="Prrafodelista"/>
        <w:numPr>
          <w:ilvl w:val="0"/>
          <w:numId w:val="10"/>
        </w:numPr>
        <w:tabs>
          <w:tab w:val="left" w:pos="8931"/>
        </w:tabs>
        <w:jc w:val="both"/>
        <w:rPr>
          <w:rFonts w:ascii="Arial" w:hAnsi="Arial" w:cs="Arial"/>
          <w:sz w:val="26"/>
          <w:szCs w:val="26"/>
          <w:lang w:val="es-ES"/>
        </w:rPr>
      </w:pPr>
      <w:r>
        <w:rPr>
          <w:rFonts w:ascii="Arial" w:hAnsi="Arial" w:cs="Arial"/>
          <w:sz w:val="26"/>
          <w:szCs w:val="26"/>
          <w:lang w:val="es-ES"/>
        </w:rPr>
        <w:t>El artículo 91 del texto en estudio, contempla “…</w:t>
      </w:r>
      <w:r w:rsidRPr="00493FD8">
        <w:rPr>
          <w:rFonts w:ascii="Arial" w:hAnsi="Arial" w:cs="Arial"/>
          <w:sz w:val="26"/>
          <w:szCs w:val="26"/>
          <w:lang w:val="es-ES"/>
        </w:rPr>
        <w:t>excepto en los casos previstos en los artículos 41, 44, 45, 46</w:t>
      </w:r>
      <w:r>
        <w:rPr>
          <w:rFonts w:ascii="Arial" w:hAnsi="Arial" w:cs="Arial"/>
          <w:sz w:val="26"/>
          <w:szCs w:val="26"/>
          <w:lang w:val="es-ES"/>
        </w:rPr>
        <w:t>. …” faltando concluir “</w:t>
      </w:r>
      <w:r w:rsidRPr="00493FD8">
        <w:rPr>
          <w:rFonts w:ascii="Arial" w:hAnsi="Arial" w:cs="Arial"/>
          <w:sz w:val="26"/>
          <w:szCs w:val="26"/>
          <w:u w:val="single"/>
          <w:lang w:val="es-ES"/>
        </w:rPr>
        <w:t>de este Reglamento</w:t>
      </w:r>
      <w:r>
        <w:rPr>
          <w:rFonts w:ascii="Arial" w:hAnsi="Arial" w:cs="Arial"/>
          <w:sz w:val="26"/>
          <w:szCs w:val="26"/>
          <w:lang w:val="es-ES"/>
        </w:rPr>
        <w:t>”.</w:t>
      </w:r>
    </w:p>
    <w:p w14:paraId="78DA807D" w14:textId="77777777" w:rsidR="00493FD8" w:rsidRDefault="00493FD8" w:rsidP="00493FD8">
      <w:pPr>
        <w:tabs>
          <w:tab w:val="left" w:pos="8931"/>
        </w:tabs>
        <w:ind w:left="927"/>
        <w:jc w:val="both"/>
        <w:rPr>
          <w:rFonts w:ascii="Arial" w:hAnsi="Arial" w:cs="Arial"/>
          <w:sz w:val="26"/>
          <w:szCs w:val="26"/>
          <w:lang w:val="es-ES"/>
        </w:rPr>
      </w:pPr>
    </w:p>
    <w:p w14:paraId="3B647487" w14:textId="683E24C1" w:rsidR="00493FD8" w:rsidRPr="00493FD8" w:rsidRDefault="00493FD8" w:rsidP="00493FD8">
      <w:pPr>
        <w:tabs>
          <w:tab w:val="left" w:pos="8931"/>
        </w:tabs>
        <w:ind w:left="927"/>
        <w:jc w:val="both"/>
        <w:rPr>
          <w:rFonts w:ascii="Arial" w:hAnsi="Arial" w:cs="Arial"/>
          <w:i/>
          <w:iCs/>
          <w:sz w:val="26"/>
          <w:szCs w:val="26"/>
          <w:lang w:val="es-ES"/>
        </w:rPr>
      </w:pPr>
      <w:r w:rsidRPr="00493FD8">
        <w:rPr>
          <w:rFonts w:ascii="Arial" w:hAnsi="Arial" w:cs="Arial"/>
          <w:i/>
          <w:iCs/>
          <w:sz w:val="26"/>
          <w:szCs w:val="26"/>
          <w:lang w:val="es-ES"/>
        </w:rPr>
        <w:t xml:space="preserve">III.3. Articulado </w:t>
      </w:r>
    </w:p>
    <w:p w14:paraId="022724B2" w14:textId="3B774A31" w:rsidR="00E05091" w:rsidRDefault="00E05091" w:rsidP="00E05091">
      <w:pPr>
        <w:tabs>
          <w:tab w:val="left" w:pos="8931"/>
        </w:tabs>
        <w:ind w:left="567"/>
        <w:jc w:val="both"/>
        <w:rPr>
          <w:rFonts w:ascii="Arial" w:hAnsi="Arial" w:cs="Arial"/>
          <w:sz w:val="26"/>
          <w:szCs w:val="26"/>
          <w:lang w:val="es-ES"/>
        </w:rPr>
      </w:pPr>
    </w:p>
    <w:p w14:paraId="3C483FFA" w14:textId="022C3392" w:rsidR="00493FD8" w:rsidRDefault="00493FD8" w:rsidP="00493FD8">
      <w:pPr>
        <w:tabs>
          <w:tab w:val="left" w:pos="8931"/>
        </w:tabs>
        <w:ind w:left="993"/>
        <w:jc w:val="both"/>
        <w:rPr>
          <w:rFonts w:ascii="Arial" w:hAnsi="Arial" w:cs="Arial"/>
          <w:sz w:val="26"/>
          <w:szCs w:val="26"/>
          <w:lang w:val="es-MX"/>
        </w:rPr>
      </w:pPr>
      <w:r w:rsidRPr="00493FD8">
        <w:rPr>
          <w:rFonts w:ascii="Arial" w:hAnsi="Arial" w:cs="Arial"/>
          <w:sz w:val="26"/>
          <w:szCs w:val="26"/>
          <w:lang w:val="es-MX"/>
        </w:rPr>
        <w:t xml:space="preserve">Los textos normativos deben guardar coherencia con todo el articulado y un orden, </w:t>
      </w:r>
      <w:r w:rsidR="00DD1A46">
        <w:rPr>
          <w:rFonts w:ascii="Arial" w:hAnsi="Arial" w:cs="Arial"/>
          <w:sz w:val="26"/>
          <w:szCs w:val="26"/>
          <w:lang w:val="es-MX"/>
        </w:rPr>
        <w:t xml:space="preserve">este orden sistemático constituye una estructura interna y organizada, que tienda a distinguir al menos las partes fundamentales en que dividirá su contenido, </w:t>
      </w:r>
      <w:r w:rsidRPr="00493FD8">
        <w:rPr>
          <w:rFonts w:ascii="Arial" w:hAnsi="Arial" w:cs="Arial"/>
          <w:sz w:val="26"/>
          <w:szCs w:val="26"/>
          <w:lang w:val="es-MX"/>
        </w:rPr>
        <w:t>a saber:</w:t>
      </w:r>
    </w:p>
    <w:p w14:paraId="7E81BC82" w14:textId="77777777" w:rsidR="00493FD8" w:rsidRPr="00493FD8" w:rsidRDefault="00493FD8" w:rsidP="00493FD8">
      <w:pPr>
        <w:tabs>
          <w:tab w:val="left" w:pos="8931"/>
        </w:tabs>
        <w:ind w:left="567"/>
        <w:jc w:val="both"/>
        <w:rPr>
          <w:rFonts w:ascii="Arial" w:hAnsi="Arial" w:cs="Arial"/>
          <w:sz w:val="26"/>
          <w:szCs w:val="26"/>
          <w:lang w:val="es-MX"/>
        </w:rPr>
      </w:pPr>
    </w:p>
    <w:p w14:paraId="3ACB292C"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preliminares;</w:t>
      </w:r>
    </w:p>
    <w:p w14:paraId="1EF73E2D"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Definiciones;</w:t>
      </w:r>
    </w:p>
    <w:p w14:paraId="0E18F8E0"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generales;</w:t>
      </w:r>
    </w:p>
    <w:p w14:paraId="6F106983"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especiales;</w:t>
      </w:r>
    </w:p>
    <w:p w14:paraId="63ACB302"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orgánicas;</w:t>
      </w:r>
    </w:p>
    <w:p w14:paraId="735C4DA2"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procedimentales;</w:t>
      </w:r>
    </w:p>
    <w:p w14:paraId="371B2DFF" w14:textId="77777777"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Disposiciones sancionatorias;</w:t>
      </w:r>
    </w:p>
    <w:p w14:paraId="1A611C11" w14:textId="77777777" w:rsid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ES"/>
        </w:rPr>
        <w:t>Medios de defensa de los particulares, y</w:t>
      </w:r>
    </w:p>
    <w:p w14:paraId="6A661D14" w14:textId="7BE1A418" w:rsidR="00493FD8" w:rsidRPr="00493FD8" w:rsidRDefault="00493FD8" w:rsidP="00493FD8">
      <w:pPr>
        <w:numPr>
          <w:ilvl w:val="0"/>
          <w:numId w:val="12"/>
        </w:numPr>
        <w:tabs>
          <w:tab w:val="left" w:pos="8931"/>
        </w:tabs>
        <w:jc w:val="both"/>
        <w:rPr>
          <w:rFonts w:ascii="Arial" w:hAnsi="Arial" w:cs="Arial"/>
          <w:i/>
          <w:iCs/>
          <w:sz w:val="26"/>
          <w:szCs w:val="26"/>
          <w:lang w:val="es-ES"/>
        </w:rPr>
      </w:pPr>
      <w:r w:rsidRPr="00493FD8">
        <w:rPr>
          <w:rFonts w:ascii="Arial" w:hAnsi="Arial" w:cs="Arial"/>
          <w:i/>
          <w:iCs/>
          <w:sz w:val="26"/>
          <w:szCs w:val="26"/>
          <w:lang w:val="es-MX"/>
        </w:rPr>
        <w:lastRenderedPageBreak/>
        <w:t>Disposiciones transitorias.</w:t>
      </w:r>
    </w:p>
    <w:p w14:paraId="52024C93" w14:textId="5229D25E" w:rsidR="00D60C72" w:rsidRDefault="00D60C72" w:rsidP="00D60C72">
      <w:pPr>
        <w:tabs>
          <w:tab w:val="left" w:pos="8931"/>
        </w:tabs>
        <w:ind w:left="567"/>
        <w:jc w:val="both"/>
        <w:rPr>
          <w:rFonts w:ascii="Arial" w:hAnsi="Arial" w:cs="Arial"/>
          <w:sz w:val="26"/>
          <w:szCs w:val="26"/>
          <w:lang w:val="es-ES"/>
        </w:rPr>
      </w:pPr>
    </w:p>
    <w:p w14:paraId="297845D4" w14:textId="74C32ADF" w:rsidR="00493FD8" w:rsidRDefault="00493FD8" w:rsidP="00D60C72">
      <w:pPr>
        <w:tabs>
          <w:tab w:val="left" w:pos="8931"/>
        </w:tabs>
        <w:ind w:left="567"/>
        <w:jc w:val="both"/>
        <w:rPr>
          <w:rFonts w:ascii="Arial" w:hAnsi="Arial" w:cs="Arial"/>
          <w:sz w:val="26"/>
          <w:szCs w:val="26"/>
          <w:lang w:val="es-ES"/>
        </w:rPr>
      </w:pPr>
      <w:r>
        <w:rPr>
          <w:rFonts w:ascii="Arial" w:hAnsi="Arial" w:cs="Arial"/>
          <w:sz w:val="26"/>
          <w:szCs w:val="26"/>
          <w:lang w:val="es-ES"/>
        </w:rPr>
        <w:t>En tal virtud, el texto normativo propuesto no obedece esta regla, pues se divide en : Disposiciones Generales; Atribuciones de las Autoridades; Organización y funcionamiento de los juzgados cívicos; Perfil y Capacitación de los Juzgados Cívicos y Demás Operadores de la Justicia Cívica; De los Derechos del Personal de Justicia Cívica y de los Probables Infractores; De la Cultura Cívica y de la Legalidad en el Municipio; De la Participación Vecinal; Infracciones y Sanciones; Del Trabajo a favor de la Comunicad; Medidas para Mejorar la Convivencia Cotidiana; De los Medios Alternativos de Solución de Conflictos (MASC); Disposiciones Generales (de nueva cuenta); Disposiciones Comunes; Del Procedimiento por presentación del Probable Infractor; Del Procedimiento por Queja, y Disposiciones Transitorias.</w:t>
      </w:r>
    </w:p>
    <w:p w14:paraId="7E50AE1D" w14:textId="78347E1A" w:rsidR="00DD1A46" w:rsidRDefault="00DD1A46" w:rsidP="00D60C72">
      <w:pPr>
        <w:tabs>
          <w:tab w:val="left" w:pos="8931"/>
        </w:tabs>
        <w:ind w:left="567"/>
        <w:jc w:val="both"/>
        <w:rPr>
          <w:rFonts w:ascii="Arial" w:hAnsi="Arial" w:cs="Arial"/>
          <w:sz w:val="26"/>
          <w:szCs w:val="26"/>
          <w:lang w:val="es-ES"/>
        </w:rPr>
      </w:pPr>
    </w:p>
    <w:p w14:paraId="10D6971F" w14:textId="4635819B" w:rsidR="00DD1A46" w:rsidRDefault="00DD1A46" w:rsidP="00D60C72">
      <w:pPr>
        <w:tabs>
          <w:tab w:val="left" w:pos="8931"/>
        </w:tabs>
        <w:ind w:left="567"/>
        <w:jc w:val="both"/>
        <w:rPr>
          <w:rFonts w:ascii="Arial" w:hAnsi="Arial" w:cs="Arial"/>
          <w:i/>
          <w:iCs/>
          <w:sz w:val="26"/>
          <w:szCs w:val="26"/>
          <w:lang w:val="es-ES"/>
        </w:rPr>
      </w:pPr>
      <w:r w:rsidRPr="00DD1A46">
        <w:rPr>
          <w:rFonts w:ascii="Arial" w:hAnsi="Arial" w:cs="Arial"/>
          <w:i/>
          <w:iCs/>
          <w:sz w:val="26"/>
          <w:szCs w:val="26"/>
          <w:lang w:val="es-ES"/>
        </w:rPr>
        <w:t>III.4. Redacción</w:t>
      </w:r>
    </w:p>
    <w:p w14:paraId="0DB9E7DC" w14:textId="3000A084" w:rsidR="00DD1A46" w:rsidRDefault="00DD1A46" w:rsidP="00D60C72">
      <w:pPr>
        <w:tabs>
          <w:tab w:val="left" w:pos="8931"/>
        </w:tabs>
        <w:ind w:left="567"/>
        <w:jc w:val="both"/>
        <w:rPr>
          <w:rFonts w:ascii="Arial" w:hAnsi="Arial" w:cs="Arial"/>
          <w:i/>
          <w:iCs/>
          <w:sz w:val="26"/>
          <w:szCs w:val="26"/>
          <w:lang w:val="es-ES"/>
        </w:rPr>
      </w:pPr>
    </w:p>
    <w:p w14:paraId="231AA745" w14:textId="6898A24D" w:rsidR="00DD1A46" w:rsidRDefault="00DD1A46" w:rsidP="00DD1A46">
      <w:pPr>
        <w:pStyle w:val="Prrafodelista"/>
        <w:numPr>
          <w:ilvl w:val="0"/>
          <w:numId w:val="13"/>
        </w:numPr>
        <w:tabs>
          <w:tab w:val="left" w:pos="8931"/>
        </w:tabs>
        <w:jc w:val="both"/>
        <w:rPr>
          <w:rFonts w:ascii="Arial" w:hAnsi="Arial" w:cs="Arial"/>
          <w:sz w:val="26"/>
          <w:szCs w:val="26"/>
          <w:lang w:val="es-ES"/>
        </w:rPr>
      </w:pPr>
      <w:r>
        <w:rPr>
          <w:rFonts w:ascii="Arial" w:hAnsi="Arial" w:cs="Arial"/>
          <w:sz w:val="26"/>
          <w:szCs w:val="26"/>
          <w:lang w:val="es-ES"/>
        </w:rPr>
        <w:t>En los textos normativos no se utilizan negritas, además, las definiciones se enuncian seguidas de una coma y posterior su concepto.</w:t>
      </w:r>
    </w:p>
    <w:p w14:paraId="42975A6F" w14:textId="53B732BF" w:rsidR="00DD1A46" w:rsidRDefault="00DD1A46" w:rsidP="00DD1A46">
      <w:pPr>
        <w:pStyle w:val="Prrafodelista"/>
        <w:numPr>
          <w:ilvl w:val="0"/>
          <w:numId w:val="13"/>
        </w:numPr>
        <w:tabs>
          <w:tab w:val="left" w:pos="8931"/>
        </w:tabs>
        <w:jc w:val="both"/>
        <w:rPr>
          <w:rFonts w:ascii="Arial" w:hAnsi="Arial" w:cs="Arial"/>
          <w:sz w:val="26"/>
          <w:szCs w:val="26"/>
          <w:lang w:val="es-ES"/>
        </w:rPr>
      </w:pPr>
      <w:r>
        <w:rPr>
          <w:rFonts w:ascii="Arial" w:hAnsi="Arial" w:cs="Arial"/>
          <w:sz w:val="26"/>
          <w:szCs w:val="26"/>
          <w:lang w:val="es-ES"/>
        </w:rPr>
        <w:t>Se debe evitar el uso de “etc.”, como en el artículo 53.</w:t>
      </w:r>
    </w:p>
    <w:p w14:paraId="6E4822BC" w14:textId="77777777" w:rsidR="00D60C72" w:rsidRPr="003B5F86" w:rsidRDefault="00D60C72" w:rsidP="00DD1A46">
      <w:pPr>
        <w:tabs>
          <w:tab w:val="left" w:pos="8931"/>
        </w:tabs>
        <w:jc w:val="both"/>
        <w:rPr>
          <w:rFonts w:ascii="Arial" w:hAnsi="Arial" w:cs="Arial"/>
          <w:sz w:val="26"/>
          <w:szCs w:val="26"/>
        </w:rPr>
      </w:pPr>
    </w:p>
    <w:p w14:paraId="15A0A784" w14:textId="27C78CDA" w:rsidR="00DD6AF4" w:rsidRDefault="00DD6AF4" w:rsidP="003B5F86">
      <w:pPr>
        <w:ind w:left="567"/>
        <w:jc w:val="both"/>
        <w:rPr>
          <w:rFonts w:ascii="Arial" w:hAnsi="Arial" w:cs="Arial"/>
          <w:sz w:val="26"/>
          <w:szCs w:val="26"/>
        </w:rPr>
      </w:pPr>
      <w:r w:rsidRPr="003B5F86">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3B5F86">
          <w:rPr>
            <w:rStyle w:val="Hipervnculo"/>
            <w:rFonts w:ascii="Arial" w:hAnsi="Arial" w:cs="Arial"/>
            <w:sz w:val="26"/>
            <w:szCs w:val="26"/>
          </w:rPr>
          <w:t>http://cuernavaca.gob.mx/dmer/registro-municipal-de-regulaciones-2022/</w:t>
        </w:r>
      </w:hyperlink>
      <w:r w:rsidRPr="003B5F86">
        <w:rPr>
          <w:rFonts w:ascii="Arial" w:hAnsi="Arial" w:cs="Arial"/>
          <w:sz w:val="26"/>
          <w:szCs w:val="26"/>
        </w:rPr>
        <w:t xml:space="preserve"> con el fin de dar cabal cumplimiento a lo dispuesto por los artículos 78 de la Ley de Mejora Regulatoria para el Estado de Morelos y sus Municipios,</w:t>
      </w:r>
      <w:r w:rsidRPr="003B5F86">
        <w:rPr>
          <w:rStyle w:val="Refdenotaalpie"/>
          <w:rFonts w:ascii="Arial" w:hAnsi="Arial" w:cs="Arial"/>
          <w:sz w:val="26"/>
          <w:szCs w:val="26"/>
        </w:rPr>
        <w:footnoteReference w:id="10"/>
      </w:r>
      <w:r w:rsidRPr="003B5F86">
        <w:rPr>
          <w:rFonts w:ascii="Arial" w:hAnsi="Arial" w:cs="Arial"/>
          <w:sz w:val="26"/>
          <w:szCs w:val="26"/>
        </w:rPr>
        <w:t xml:space="preserve"> y 59 del Reglamento de Mejora Regulatoria del Municipio de Cuernavaca.</w:t>
      </w:r>
      <w:r w:rsidRPr="003B5F86">
        <w:rPr>
          <w:rStyle w:val="Refdenotaalpie"/>
          <w:rFonts w:ascii="Arial" w:hAnsi="Arial" w:cs="Arial"/>
          <w:sz w:val="26"/>
          <w:szCs w:val="26"/>
        </w:rPr>
        <w:footnoteReference w:id="11"/>
      </w:r>
      <w:r w:rsidRPr="003B5F86">
        <w:rPr>
          <w:rFonts w:ascii="Arial" w:hAnsi="Arial" w:cs="Arial"/>
          <w:sz w:val="26"/>
          <w:szCs w:val="26"/>
        </w:rPr>
        <w:t xml:space="preserve"> </w:t>
      </w:r>
    </w:p>
    <w:p w14:paraId="2D734516" w14:textId="3A2E382E" w:rsidR="008C7B21" w:rsidRDefault="008C7B21" w:rsidP="003B5F86">
      <w:pPr>
        <w:ind w:left="567"/>
        <w:jc w:val="both"/>
        <w:rPr>
          <w:rFonts w:ascii="Arial" w:hAnsi="Arial" w:cs="Arial"/>
          <w:sz w:val="26"/>
          <w:szCs w:val="26"/>
        </w:rPr>
      </w:pPr>
    </w:p>
    <w:p w14:paraId="1A2E18BA" w14:textId="2AFFF972" w:rsidR="008C7B21" w:rsidRPr="008C7B21" w:rsidRDefault="008C7B21" w:rsidP="008C7B21">
      <w:pPr>
        <w:pStyle w:val="Prrafodelista"/>
        <w:spacing w:line="276" w:lineRule="auto"/>
        <w:ind w:left="567"/>
        <w:jc w:val="both"/>
        <w:rPr>
          <w:rFonts w:ascii="Arial" w:hAnsi="Arial" w:cs="Arial"/>
          <w:sz w:val="26"/>
          <w:szCs w:val="26"/>
          <w:lang w:val="es-ES"/>
        </w:rPr>
      </w:pPr>
      <w:r w:rsidRPr="00B61762">
        <w:rPr>
          <w:rFonts w:ascii="Arial" w:hAnsi="Arial" w:cs="Arial"/>
          <w:sz w:val="26"/>
          <w:szCs w:val="26"/>
          <w:lang w:val="es-ES"/>
        </w:rPr>
        <w:t xml:space="preserve">Por lo anterior, resulta necesario </w:t>
      </w:r>
      <w:r>
        <w:rPr>
          <w:rFonts w:ascii="Arial" w:hAnsi="Arial" w:cs="Arial"/>
          <w:sz w:val="26"/>
          <w:szCs w:val="26"/>
          <w:lang w:val="es-ES"/>
        </w:rPr>
        <w:t xml:space="preserve">que al </w:t>
      </w:r>
      <w:r w:rsidRPr="00B61762">
        <w:rPr>
          <w:rFonts w:ascii="Arial" w:hAnsi="Arial" w:cs="Arial"/>
          <w:sz w:val="26"/>
          <w:szCs w:val="26"/>
          <w:lang w:val="es-ES"/>
        </w:rPr>
        <w:t>emitir el Dictamen correspondiente</w:t>
      </w:r>
      <w:r>
        <w:rPr>
          <w:rFonts w:ascii="Arial" w:hAnsi="Arial" w:cs="Arial"/>
          <w:sz w:val="26"/>
          <w:szCs w:val="26"/>
          <w:lang w:val="es-ES"/>
        </w:rPr>
        <w:t>,</w:t>
      </w:r>
      <w:r w:rsidRPr="00B61762">
        <w:rPr>
          <w:rFonts w:ascii="Arial" w:hAnsi="Arial" w:cs="Arial"/>
          <w:sz w:val="26"/>
          <w:szCs w:val="26"/>
          <w:lang w:val="es-ES"/>
        </w:rPr>
        <w:t xml:space="preserve"> </w:t>
      </w:r>
      <w:r>
        <w:rPr>
          <w:rFonts w:ascii="Arial" w:hAnsi="Arial" w:cs="Arial"/>
          <w:sz w:val="26"/>
          <w:szCs w:val="26"/>
          <w:lang w:val="es-ES"/>
        </w:rPr>
        <w:t>sean tomadas</w:t>
      </w:r>
      <w:r w:rsidRPr="00B61762">
        <w:rPr>
          <w:rFonts w:ascii="Arial" w:hAnsi="Arial" w:cs="Arial"/>
          <w:sz w:val="26"/>
          <w:szCs w:val="26"/>
          <w:lang w:val="es-ES"/>
        </w:rPr>
        <w:t xml:space="preserve"> en cuenta las consideraciones vertidas en el presente</w:t>
      </w:r>
      <w:r>
        <w:rPr>
          <w:rFonts w:ascii="Arial" w:hAnsi="Arial" w:cs="Arial"/>
          <w:sz w:val="26"/>
          <w:szCs w:val="26"/>
          <w:lang w:val="es-ES"/>
        </w:rPr>
        <w:t xml:space="preserve"> para modificar la iniciativa en mención</w:t>
      </w:r>
      <w:r w:rsidRPr="00B61762">
        <w:rPr>
          <w:rFonts w:ascii="Arial" w:hAnsi="Arial" w:cs="Arial"/>
          <w:sz w:val="26"/>
          <w:szCs w:val="26"/>
          <w:lang w:val="es-ES"/>
        </w:rPr>
        <w:t xml:space="preserve">, </w:t>
      </w:r>
      <w:r>
        <w:rPr>
          <w:rFonts w:ascii="Arial" w:hAnsi="Arial" w:cs="Arial"/>
          <w:sz w:val="26"/>
          <w:szCs w:val="26"/>
          <w:lang w:val="es-ES"/>
        </w:rPr>
        <w:t xml:space="preserve">para dotar de claridad y conveniencia al proyecto en estudio y dar cumplimiento </w:t>
      </w:r>
      <w:r>
        <w:rPr>
          <w:rFonts w:ascii="Arial" w:hAnsi="Arial" w:cs="Arial"/>
          <w:b/>
          <w:bCs/>
          <w:sz w:val="26"/>
          <w:szCs w:val="26"/>
          <w:u w:val="single"/>
          <w:lang w:val="es-ES"/>
        </w:rPr>
        <w:t>a</w:t>
      </w:r>
      <w:r w:rsidRPr="00AE455C">
        <w:rPr>
          <w:rFonts w:ascii="Arial" w:hAnsi="Arial" w:cs="Arial"/>
          <w:b/>
          <w:bCs/>
          <w:sz w:val="26"/>
          <w:szCs w:val="26"/>
          <w:u w:val="single"/>
          <w:lang w:val="es-ES"/>
        </w:rPr>
        <w:t xml:space="preserve"> lo establecido en el artículo 68 de la Ley General de Mejora Regulatoria</w:t>
      </w:r>
      <w:r>
        <w:rPr>
          <w:rFonts w:ascii="Arial" w:hAnsi="Arial" w:cs="Arial"/>
          <w:b/>
          <w:bCs/>
          <w:sz w:val="26"/>
          <w:szCs w:val="26"/>
          <w:u w:val="single"/>
          <w:lang w:val="es-ES"/>
        </w:rPr>
        <w:t xml:space="preserve"> </w:t>
      </w:r>
      <w:r w:rsidRPr="00B61762">
        <w:rPr>
          <w:rFonts w:ascii="Arial" w:hAnsi="Arial" w:cs="Arial"/>
          <w:sz w:val="26"/>
          <w:szCs w:val="26"/>
          <w:lang w:val="es-ES"/>
        </w:rPr>
        <w:t>facultad exclusiva de la Comisión a su digna Presidencia, para el efecto de dar claridad, calidad y certeza normativa, por lo que, respetuosamente se somete a su invaluable consideración y, de ser el caso, sea sometido a los integrantes de esta Comisión para su valoración, análisis y discusión respectiva.</w:t>
      </w:r>
    </w:p>
    <w:p w14:paraId="3692D46C" w14:textId="77777777" w:rsidR="00DD6AF4" w:rsidRPr="003B5F86" w:rsidRDefault="00DD6AF4" w:rsidP="003B5F86">
      <w:pPr>
        <w:ind w:left="567"/>
        <w:jc w:val="both"/>
        <w:rPr>
          <w:rFonts w:ascii="Arial" w:hAnsi="Arial" w:cs="Arial"/>
          <w:sz w:val="26"/>
          <w:szCs w:val="26"/>
        </w:rPr>
      </w:pPr>
    </w:p>
    <w:p w14:paraId="39EC09C7" w14:textId="129A810E" w:rsidR="00DD6AF4" w:rsidRPr="003B5F86" w:rsidRDefault="00DD6AF4" w:rsidP="003B5F86">
      <w:pPr>
        <w:ind w:left="567"/>
        <w:jc w:val="both"/>
        <w:rPr>
          <w:rFonts w:ascii="Arial" w:hAnsi="Arial" w:cs="Arial"/>
          <w:sz w:val="26"/>
          <w:szCs w:val="26"/>
        </w:rPr>
      </w:pPr>
      <w:r w:rsidRPr="003B5F86">
        <w:rPr>
          <w:rFonts w:ascii="Arial" w:hAnsi="Arial" w:cs="Arial"/>
          <w:sz w:val="26"/>
          <w:szCs w:val="26"/>
        </w:rPr>
        <w:t>Sin otro particular, reiter</w:t>
      </w:r>
      <w:r w:rsidR="00493DFF" w:rsidRPr="003B5F86">
        <w:rPr>
          <w:rFonts w:ascii="Arial" w:hAnsi="Arial" w:cs="Arial"/>
          <w:sz w:val="26"/>
          <w:szCs w:val="26"/>
        </w:rPr>
        <w:t xml:space="preserve">o el apoyo de esta Dirección para el óptimo desempeño de </w:t>
      </w:r>
      <w:r w:rsidR="003B5F86">
        <w:rPr>
          <w:rFonts w:ascii="Arial" w:hAnsi="Arial" w:cs="Arial"/>
          <w:sz w:val="26"/>
          <w:szCs w:val="26"/>
        </w:rPr>
        <w:t>sus funciones</w:t>
      </w:r>
      <w:r w:rsidR="00493DFF" w:rsidRPr="003B5F86">
        <w:rPr>
          <w:rFonts w:ascii="Arial" w:hAnsi="Arial" w:cs="Arial"/>
          <w:sz w:val="26"/>
          <w:szCs w:val="26"/>
        </w:rPr>
        <w:t xml:space="preserve"> y</w:t>
      </w:r>
      <w:r w:rsidRPr="003B5F86">
        <w:rPr>
          <w:rFonts w:ascii="Arial" w:hAnsi="Arial" w:cs="Arial"/>
          <w:sz w:val="26"/>
          <w:szCs w:val="26"/>
        </w:rPr>
        <w:t xml:space="preserve"> mi mayor consideración.</w:t>
      </w:r>
    </w:p>
    <w:p w14:paraId="2F3FE944" w14:textId="77777777" w:rsidR="00DD6AF4" w:rsidRPr="003B5F86" w:rsidRDefault="00DD6AF4" w:rsidP="003B5F86">
      <w:pPr>
        <w:pStyle w:val="Sangradetextonormal"/>
        <w:spacing w:after="0"/>
        <w:ind w:left="567"/>
        <w:jc w:val="center"/>
        <w:rPr>
          <w:rFonts w:ascii="Arial" w:hAnsi="Arial" w:cs="Arial"/>
          <w:sz w:val="26"/>
          <w:szCs w:val="26"/>
        </w:rPr>
      </w:pPr>
    </w:p>
    <w:p w14:paraId="41E4A49A" w14:textId="77777777" w:rsidR="00DD6AF4" w:rsidRPr="003B5F86" w:rsidRDefault="00DD6AF4" w:rsidP="003B5F86">
      <w:pPr>
        <w:pStyle w:val="Sangradetextonormal"/>
        <w:spacing w:after="0"/>
        <w:ind w:left="567"/>
        <w:jc w:val="center"/>
        <w:rPr>
          <w:rFonts w:ascii="Arial" w:hAnsi="Arial" w:cs="Arial"/>
          <w:b/>
          <w:sz w:val="26"/>
          <w:szCs w:val="26"/>
        </w:rPr>
      </w:pPr>
      <w:r w:rsidRPr="003B5F86">
        <w:rPr>
          <w:rFonts w:ascii="Arial" w:hAnsi="Arial" w:cs="Arial"/>
          <w:b/>
          <w:sz w:val="26"/>
          <w:szCs w:val="26"/>
        </w:rPr>
        <w:t>ATENTAMENTE</w:t>
      </w:r>
    </w:p>
    <w:p w14:paraId="028A23A4" w14:textId="7D2D09DD" w:rsidR="004F71F0" w:rsidRDefault="004F71F0" w:rsidP="003B5F86">
      <w:pPr>
        <w:pStyle w:val="Sangradetextonormal"/>
        <w:spacing w:after="0"/>
        <w:ind w:left="0"/>
        <w:rPr>
          <w:rFonts w:ascii="Arial" w:hAnsi="Arial" w:cs="Arial"/>
          <w:sz w:val="26"/>
          <w:szCs w:val="26"/>
        </w:rPr>
      </w:pPr>
    </w:p>
    <w:p w14:paraId="43E06549" w14:textId="77777777" w:rsidR="008C7B21" w:rsidRPr="003B5F86" w:rsidRDefault="008C7B21" w:rsidP="003B5F86">
      <w:pPr>
        <w:pStyle w:val="Sangradetextonormal"/>
        <w:spacing w:after="0"/>
        <w:ind w:left="0"/>
        <w:rPr>
          <w:rFonts w:ascii="Arial" w:hAnsi="Arial" w:cs="Arial"/>
          <w:sz w:val="26"/>
          <w:szCs w:val="26"/>
        </w:rPr>
      </w:pPr>
    </w:p>
    <w:p w14:paraId="580706EF" w14:textId="77777777" w:rsidR="009D471F" w:rsidRPr="003B5F86" w:rsidRDefault="009D471F" w:rsidP="003B5F86">
      <w:pPr>
        <w:pStyle w:val="Sangradetextonormal"/>
        <w:spacing w:after="0"/>
        <w:ind w:left="0"/>
        <w:rPr>
          <w:rFonts w:ascii="Arial" w:hAnsi="Arial" w:cs="Arial"/>
          <w:sz w:val="26"/>
          <w:szCs w:val="26"/>
        </w:rPr>
      </w:pPr>
    </w:p>
    <w:p w14:paraId="65D0982C" w14:textId="79EF943D" w:rsidR="00DD6AF4" w:rsidRPr="003B5F86" w:rsidRDefault="00F43ABC" w:rsidP="003B5F86">
      <w:pPr>
        <w:ind w:left="567"/>
        <w:jc w:val="center"/>
        <w:rPr>
          <w:rFonts w:ascii="Arial" w:hAnsi="Arial" w:cs="Arial"/>
          <w:b/>
          <w:sz w:val="26"/>
          <w:szCs w:val="26"/>
        </w:rPr>
      </w:pPr>
      <w:r w:rsidRPr="003B5F86">
        <w:rPr>
          <w:rFonts w:ascii="Arial" w:hAnsi="Arial" w:cs="Arial"/>
          <w:b/>
          <w:sz w:val="26"/>
          <w:szCs w:val="26"/>
        </w:rPr>
        <w:t>LI</w:t>
      </w:r>
      <w:r w:rsidR="00DD6AF4" w:rsidRPr="003B5F86">
        <w:rPr>
          <w:rFonts w:ascii="Arial" w:hAnsi="Arial" w:cs="Arial"/>
          <w:b/>
          <w:sz w:val="26"/>
          <w:szCs w:val="26"/>
        </w:rPr>
        <w:t xml:space="preserve">C. </w:t>
      </w:r>
      <w:r w:rsidR="00B62BEE" w:rsidRPr="003B5F86">
        <w:rPr>
          <w:rFonts w:ascii="Arial" w:hAnsi="Arial" w:cs="Arial"/>
          <w:b/>
          <w:sz w:val="26"/>
          <w:szCs w:val="26"/>
        </w:rPr>
        <w:t>FERNANDO EDUARDO SOTELO DE GANTE</w:t>
      </w:r>
    </w:p>
    <w:p w14:paraId="4523D835" w14:textId="3960B9E8" w:rsidR="00493DFF" w:rsidRPr="00B50316" w:rsidRDefault="00B62BEE" w:rsidP="00B50316">
      <w:pPr>
        <w:ind w:left="567"/>
        <w:jc w:val="center"/>
        <w:rPr>
          <w:rFonts w:ascii="Arial" w:hAnsi="Arial" w:cs="Arial"/>
          <w:b/>
          <w:sz w:val="26"/>
          <w:szCs w:val="26"/>
        </w:rPr>
      </w:pPr>
      <w:r w:rsidRPr="003B5F86">
        <w:rPr>
          <w:rFonts w:ascii="Arial" w:hAnsi="Arial" w:cs="Arial"/>
          <w:b/>
          <w:sz w:val="26"/>
          <w:szCs w:val="26"/>
        </w:rPr>
        <w:t>DIRECTOR DE MEJORA REGULATORI</w:t>
      </w:r>
      <w:r w:rsidR="00AF4BE4" w:rsidRPr="003B5F86">
        <w:rPr>
          <w:rFonts w:ascii="Arial" w:hAnsi="Arial" w:cs="Arial"/>
          <w:b/>
          <w:sz w:val="26"/>
          <w:szCs w:val="26"/>
        </w:rPr>
        <w:t>A</w:t>
      </w:r>
    </w:p>
    <w:p w14:paraId="692EFB14" w14:textId="77777777" w:rsidR="008C7B21" w:rsidRDefault="008C7B21" w:rsidP="00411203">
      <w:pPr>
        <w:pStyle w:val="Sangradetextonormal"/>
        <w:ind w:left="567"/>
        <w:rPr>
          <w:rFonts w:ascii="Arial" w:hAnsi="Arial" w:cs="Arial"/>
          <w:sz w:val="16"/>
          <w:szCs w:val="16"/>
        </w:rPr>
      </w:pPr>
    </w:p>
    <w:p w14:paraId="5890538F" w14:textId="77777777" w:rsidR="008C7B21" w:rsidRDefault="008C7B21" w:rsidP="00411203">
      <w:pPr>
        <w:pStyle w:val="Sangradetextonormal"/>
        <w:ind w:left="567"/>
        <w:rPr>
          <w:rFonts w:ascii="Arial" w:hAnsi="Arial" w:cs="Arial"/>
          <w:sz w:val="16"/>
          <w:szCs w:val="16"/>
        </w:rPr>
      </w:pPr>
    </w:p>
    <w:p w14:paraId="13C36A66" w14:textId="77777777" w:rsidR="008C7B21" w:rsidRDefault="008C7B21" w:rsidP="00411203">
      <w:pPr>
        <w:pStyle w:val="Sangradetextonormal"/>
        <w:ind w:left="567"/>
        <w:rPr>
          <w:rFonts w:ascii="Arial" w:hAnsi="Arial" w:cs="Arial"/>
          <w:sz w:val="16"/>
          <w:szCs w:val="16"/>
        </w:rPr>
      </w:pPr>
    </w:p>
    <w:p w14:paraId="7C892BE2" w14:textId="77777777" w:rsidR="008C7B21" w:rsidRDefault="008C7B21" w:rsidP="00411203">
      <w:pPr>
        <w:pStyle w:val="Sangradetextonormal"/>
        <w:ind w:left="567"/>
        <w:rPr>
          <w:rFonts w:ascii="Arial" w:hAnsi="Arial" w:cs="Arial"/>
          <w:sz w:val="16"/>
          <w:szCs w:val="16"/>
        </w:rPr>
      </w:pPr>
    </w:p>
    <w:p w14:paraId="11B2E904" w14:textId="66A5A8AA" w:rsidR="008C7B21" w:rsidRDefault="008C7B21" w:rsidP="00411203">
      <w:pPr>
        <w:pStyle w:val="Sangradetextonormal"/>
        <w:ind w:left="567"/>
        <w:rPr>
          <w:rFonts w:ascii="Arial" w:hAnsi="Arial" w:cs="Arial"/>
          <w:sz w:val="16"/>
          <w:szCs w:val="16"/>
        </w:rPr>
      </w:pPr>
    </w:p>
    <w:p w14:paraId="7C446423" w14:textId="66C27F82" w:rsidR="008C7B21" w:rsidRDefault="008C7B21" w:rsidP="00411203">
      <w:pPr>
        <w:pStyle w:val="Sangradetextonormal"/>
        <w:ind w:left="567"/>
        <w:rPr>
          <w:rFonts w:ascii="Arial" w:hAnsi="Arial" w:cs="Arial"/>
          <w:sz w:val="16"/>
          <w:szCs w:val="16"/>
        </w:rPr>
      </w:pPr>
    </w:p>
    <w:p w14:paraId="4EA2948A" w14:textId="4E2944B4" w:rsidR="008C7B21" w:rsidRDefault="008C7B21" w:rsidP="00411203">
      <w:pPr>
        <w:pStyle w:val="Sangradetextonormal"/>
        <w:ind w:left="567"/>
        <w:rPr>
          <w:rFonts w:ascii="Arial" w:hAnsi="Arial" w:cs="Arial"/>
          <w:sz w:val="16"/>
          <w:szCs w:val="16"/>
        </w:rPr>
      </w:pPr>
    </w:p>
    <w:p w14:paraId="203D8DAD" w14:textId="7470E8FB" w:rsidR="008C7B21" w:rsidRDefault="008C7B21" w:rsidP="00411203">
      <w:pPr>
        <w:pStyle w:val="Sangradetextonormal"/>
        <w:ind w:left="567"/>
        <w:rPr>
          <w:rFonts w:ascii="Arial" w:hAnsi="Arial" w:cs="Arial"/>
          <w:sz w:val="16"/>
          <w:szCs w:val="16"/>
        </w:rPr>
      </w:pPr>
    </w:p>
    <w:p w14:paraId="2AA6DBCC" w14:textId="5E4AE944" w:rsidR="008C7B21" w:rsidRDefault="008C7B21" w:rsidP="00411203">
      <w:pPr>
        <w:pStyle w:val="Sangradetextonormal"/>
        <w:ind w:left="567"/>
        <w:rPr>
          <w:rFonts w:ascii="Arial" w:hAnsi="Arial" w:cs="Arial"/>
          <w:sz w:val="16"/>
          <w:szCs w:val="16"/>
        </w:rPr>
      </w:pPr>
    </w:p>
    <w:p w14:paraId="7AE3AC78" w14:textId="0B5C5E79" w:rsidR="008C7B21" w:rsidRDefault="008C7B21" w:rsidP="00411203">
      <w:pPr>
        <w:pStyle w:val="Sangradetextonormal"/>
        <w:ind w:left="567"/>
        <w:rPr>
          <w:rFonts w:ascii="Arial" w:hAnsi="Arial" w:cs="Arial"/>
          <w:sz w:val="16"/>
          <w:szCs w:val="16"/>
        </w:rPr>
      </w:pPr>
    </w:p>
    <w:p w14:paraId="71A10A91" w14:textId="4A1F48DF" w:rsidR="008C7B21" w:rsidRDefault="008C7B21" w:rsidP="00411203">
      <w:pPr>
        <w:pStyle w:val="Sangradetextonormal"/>
        <w:ind w:left="567"/>
        <w:rPr>
          <w:rFonts w:ascii="Arial" w:hAnsi="Arial" w:cs="Arial"/>
          <w:sz w:val="16"/>
          <w:szCs w:val="16"/>
        </w:rPr>
      </w:pPr>
    </w:p>
    <w:p w14:paraId="2D3B77F1" w14:textId="5D7525BA" w:rsidR="008C7B21" w:rsidRDefault="008C7B21" w:rsidP="00411203">
      <w:pPr>
        <w:pStyle w:val="Sangradetextonormal"/>
        <w:ind w:left="567"/>
        <w:rPr>
          <w:rFonts w:ascii="Arial" w:hAnsi="Arial" w:cs="Arial"/>
          <w:sz w:val="16"/>
          <w:szCs w:val="16"/>
        </w:rPr>
      </w:pPr>
    </w:p>
    <w:p w14:paraId="72352DDA" w14:textId="77777777" w:rsidR="008C7B21" w:rsidRDefault="008C7B21" w:rsidP="00411203">
      <w:pPr>
        <w:pStyle w:val="Sangradetextonormal"/>
        <w:ind w:left="567"/>
        <w:rPr>
          <w:rFonts w:ascii="Arial" w:hAnsi="Arial" w:cs="Arial"/>
          <w:sz w:val="16"/>
          <w:szCs w:val="16"/>
        </w:rPr>
      </w:pPr>
    </w:p>
    <w:p w14:paraId="7E6ECC6B" w14:textId="35657E81" w:rsidR="00B62BEE" w:rsidRDefault="00B62BEE" w:rsidP="008C7B21">
      <w:pPr>
        <w:pStyle w:val="Sangradetextonormal"/>
        <w:ind w:left="567"/>
        <w:jc w:val="both"/>
        <w:rPr>
          <w:rFonts w:ascii="Arial" w:hAnsi="Arial" w:cs="Arial"/>
          <w:sz w:val="16"/>
          <w:szCs w:val="16"/>
        </w:rPr>
      </w:pPr>
      <w:r w:rsidRPr="005550FC">
        <w:rPr>
          <w:rFonts w:ascii="Arial" w:hAnsi="Arial" w:cs="Arial"/>
          <w:sz w:val="16"/>
          <w:szCs w:val="16"/>
        </w:rPr>
        <w:t>C.c.p.:</w:t>
      </w:r>
    </w:p>
    <w:p w14:paraId="3D630B42" w14:textId="729C062C" w:rsidR="008C7B21" w:rsidRDefault="008C7B21" w:rsidP="008C7B21">
      <w:pPr>
        <w:pStyle w:val="Sangradetextonormal"/>
        <w:ind w:left="567"/>
        <w:jc w:val="both"/>
        <w:rPr>
          <w:rFonts w:ascii="Arial" w:hAnsi="Arial" w:cs="Arial"/>
          <w:sz w:val="16"/>
          <w:szCs w:val="16"/>
        </w:rPr>
      </w:pPr>
      <w:r>
        <w:rPr>
          <w:rFonts w:ascii="Arial" w:hAnsi="Arial" w:cs="Arial"/>
          <w:sz w:val="16"/>
          <w:szCs w:val="16"/>
        </w:rPr>
        <w:t>Mtra. Catalina Verónica Atenco Pérez.- Síndica Municipal de Cuernavaca.- Para su conocimiento, en atención a su similar SM/1012/2022/2022</w:t>
      </w:r>
    </w:p>
    <w:p w14:paraId="7BA532A2" w14:textId="17A2033D" w:rsidR="00B62BEE" w:rsidRDefault="00B50316" w:rsidP="008C7B21">
      <w:pPr>
        <w:pStyle w:val="Sangradetextonormal"/>
        <w:ind w:left="567"/>
        <w:jc w:val="both"/>
        <w:rPr>
          <w:rFonts w:ascii="Arial" w:hAnsi="Arial" w:cs="Arial"/>
          <w:sz w:val="16"/>
          <w:szCs w:val="16"/>
        </w:rPr>
      </w:pPr>
      <w:r>
        <w:rPr>
          <w:rFonts w:ascii="Arial" w:hAnsi="Arial" w:cs="Arial"/>
          <w:sz w:val="16"/>
          <w:szCs w:val="16"/>
        </w:rPr>
        <w:t>Mro</w:t>
      </w:r>
      <w:r w:rsidR="00B62BEE">
        <w:rPr>
          <w:rFonts w:ascii="Arial" w:hAnsi="Arial" w:cs="Arial"/>
          <w:sz w:val="16"/>
          <w:szCs w:val="16"/>
        </w:rPr>
        <w:t>. Humberto Paladino Valdovinos.- Secretario de Desarrollo Económico y Turismo de Cuernavaca.- Para su conocimiento</w:t>
      </w:r>
    </w:p>
    <w:p w14:paraId="56D38E13" w14:textId="22512614" w:rsidR="00B62BEE" w:rsidRPr="005550FC" w:rsidRDefault="00B62BEE" w:rsidP="008C7B21">
      <w:pPr>
        <w:pStyle w:val="Sangradetextonormal"/>
        <w:ind w:left="567"/>
        <w:jc w:val="both"/>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6500A74" w14:textId="0B2A5454" w:rsidR="002A6480" w:rsidRDefault="00B62BEE" w:rsidP="008C7B21">
      <w:pPr>
        <w:pStyle w:val="Sangradetextonormal"/>
        <w:ind w:left="567"/>
        <w:jc w:val="both"/>
        <w:rPr>
          <w:rFonts w:ascii="Arial" w:hAnsi="Arial" w:cs="Arial"/>
          <w:sz w:val="16"/>
          <w:szCs w:val="16"/>
        </w:rPr>
      </w:pPr>
      <w:r w:rsidRPr="005550FC">
        <w:rPr>
          <w:rFonts w:ascii="Arial" w:hAnsi="Arial" w:cs="Arial"/>
          <w:sz w:val="16"/>
          <w:szCs w:val="16"/>
        </w:rPr>
        <w:t>Minutario</w:t>
      </w:r>
    </w:p>
    <w:p w14:paraId="71F1E3A5" w14:textId="693838BE" w:rsidR="00493DFF" w:rsidRPr="008449B5" w:rsidRDefault="00493DFF" w:rsidP="008C7B21">
      <w:pPr>
        <w:pStyle w:val="Sangradetextonormal"/>
        <w:ind w:left="567"/>
        <w:jc w:val="both"/>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457E" w14:textId="77777777" w:rsidR="0090788B" w:rsidRDefault="0090788B" w:rsidP="002F55F0">
      <w:r>
        <w:separator/>
      </w:r>
    </w:p>
  </w:endnote>
  <w:endnote w:type="continuationSeparator" w:id="0">
    <w:p w14:paraId="3F2AF116" w14:textId="77777777" w:rsidR="0090788B" w:rsidRDefault="0090788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5922" w14:textId="77777777" w:rsidR="0090788B" w:rsidRDefault="0090788B" w:rsidP="002F55F0">
      <w:r>
        <w:separator/>
      </w:r>
    </w:p>
  </w:footnote>
  <w:footnote w:type="continuationSeparator" w:id="0">
    <w:p w14:paraId="46780A33" w14:textId="77777777" w:rsidR="0090788B" w:rsidRDefault="0090788B" w:rsidP="002F55F0">
      <w:r>
        <w:continuationSeparator/>
      </w:r>
    </w:p>
  </w:footnote>
  <w:footnote w:id="1">
    <w:p w14:paraId="65E0FC67" w14:textId="781985C9" w:rsidR="0023369D" w:rsidRPr="00B50316" w:rsidRDefault="0023369D" w:rsidP="003C0A61">
      <w:pPr>
        <w:pStyle w:val="Textonotapie"/>
        <w:ind w:left="567"/>
        <w:jc w:val="both"/>
        <w:rPr>
          <w:rFonts w:ascii="Arial" w:hAnsi="Arial" w:cs="Arial"/>
          <w:sz w:val="14"/>
          <w:szCs w:val="14"/>
        </w:rPr>
      </w:pPr>
      <w:r w:rsidRPr="00B50316">
        <w:rPr>
          <w:rStyle w:val="Refdenotaalpie"/>
          <w:rFonts w:ascii="Arial" w:hAnsi="Arial" w:cs="Arial"/>
          <w:sz w:val="14"/>
          <w:szCs w:val="14"/>
        </w:rPr>
        <w:footnoteRef/>
      </w:r>
      <w:r w:rsidRPr="00B50316">
        <w:rPr>
          <w:rFonts w:ascii="Arial" w:hAnsi="Arial" w:cs="Arial"/>
          <w:sz w:val="14"/>
          <w:szCs w:val="14"/>
        </w:rPr>
        <w:t xml:space="preserve"> M. Carbonell </w:t>
      </w:r>
      <w:r w:rsidRPr="00B50316">
        <w:rPr>
          <w:rFonts w:ascii="Arial" w:hAnsi="Arial" w:cs="Arial"/>
          <w:i/>
          <w:iCs/>
          <w:sz w:val="14"/>
          <w:szCs w:val="14"/>
        </w:rPr>
        <w:t>et al</w:t>
      </w:r>
      <w:r w:rsidRPr="00B50316">
        <w:rPr>
          <w:rFonts w:ascii="Arial" w:hAnsi="Arial" w:cs="Arial"/>
          <w:sz w:val="14"/>
          <w:szCs w:val="14"/>
        </w:rPr>
        <w:t xml:space="preserve">., </w:t>
      </w:r>
      <w:r w:rsidRPr="008C7B21">
        <w:rPr>
          <w:rFonts w:ascii="Arial" w:hAnsi="Arial" w:cs="Arial"/>
          <w:i/>
          <w:iCs/>
          <w:sz w:val="14"/>
          <w:szCs w:val="14"/>
          <w:u w:val="single"/>
        </w:rPr>
        <w:t>Elementos de la técnica legislativa</w:t>
      </w:r>
      <w:r w:rsidRPr="00B50316">
        <w:rPr>
          <w:rFonts w:ascii="Arial" w:hAnsi="Arial" w:cs="Arial"/>
          <w:sz w:val="14"/>
          <w:szCs w:val="14"/>
        </w:rPr>
        <w:t xml:space="preserve">, pp. 213 y </w:t>
      </w:r>
      <w:proofErr w:type="spellStart"/>
      <w:r w:rsidRPr="00B50316">
        <w:rPr>
          <w:rFonts w:ascii="Arial" w:hAnsi="Arial" w:cs="Arial"/>
          <w:sz w:val="14"/>
          <w:szCs w:val="14"/>
        </w:rPr>
        <w:t>ss</w:t>
      </w:r>
      <w:proofErr w:type="spellEnd"/>
    </w:p>
    <w:p w14:paraId="062E60F1" w14:textId="77777777" w:rsidR="003C0A61" w:rsidRPr="00B50316" w:rsidRDefault="003C0A61" w:rsidP="003C0A61">
      <w:pPr>
        <w:pStyle w:val="Textonotapie"/>
        <w:ind w:left="567"/>
        <w:jc w:val="both"/>
        <w:rPr>
          <w:rFonts w:ascii="Arial" w:hAnsi="Arial" w:cs="Arial"/>
          <w:sz w:val="14"/>
          <w:szCs w:val="14"/>
        </w:rPr>
      </w:pPr>
    </w:p>
  </w:footnote>
  <w:footnote w:id="2">
    <w:p w14:paraId="19347483" w14:textId="5AE40CFF" w:rsidR="003C0A61" w:rsidRPr="00B50316" w:rsidRDefault="003C0A61" w:rsidP="003C0A61">
      <w:pPr>
        <w:pStyle w:val="Textonotapie"/>
        <w:ind w:left="567"/>
        <w:jc w:val="both"/>
        <w:rPr>
          <w:rFonts w:ascii="Arial" w:hAnsi="Arial" w:cs="Arial"/>
          <w:sz w:val="14"/>
          <w:szCs w:val="14"/>
        </w:rPr>
      </w:pPr>
      <w:r w:rsidRPr="00B50316">
        <w:rPr>
          <w:rStyle w:val="Refdenotaalpie"/>
          <w:rFonts w:ascii="Arial" w:hAnsi="Arial" w:cs="Arial"/>
          <w:sz w:val="14"/>
          <w:szCs w:val="14"/>
        </w:rPr>
        <w:footnoteRef/>
      </w:r>
      <w:r w:rsidRPr="00B50316">
        <w:rPr>
          <w:rFonts w:ascii="Arial" w:hAnsi="Arial" w:cs="Arial"/>
          <w:sz w:val="14"/>
          <w:szCs w:val="14"/>
        </w:rPr>
        <w:t xml:space="preserve"> </w:t>
      </w:r>
      <w:r w:rsidR="008C7B21" w:rsidRPr="00634247">
        <w:rPr>
          <w:rFonts w:ascii="Arial" w:hAnsi="Arial" w:cs="Arial"/>
          <w:sz w:val="14"/>
          <w:szCs w:val="14"/>
        </w:rPr>
        <w:t xml:space="preserve">B. Gretel, </w:t>
      </w:r>
      <w:r w:rsidR="008C7B21" w:rsidRPr="00634247">
        <w:rPr>
          <w:rFonts w:ascii="Arial" w:hAnsi="Arial" w:cs="Arial"/>
          <w:i/>
          <w:iCs/>
          <w:sz w:val="14"/>
          <w:szCs w:val="14"/>
          <w:u w:val="single"/>
        </w:rPr>
        <w:t>La forma de las leyes. 10 estudios sobre técnica legislativa</w:t>
      </w:r>
      <w:r w:rsidRPr="00B50316">
        <w:rPr>
          <w:rFonts w:ascii="Arial" w:hAnsi="Arial" w:cs="Arial"/>
          <w:sz w:val="14"/>
          <w:szCs w:val="14"/>
        </w:rPr>
        <w:t>, Barcelona, Bosch, 1986. P.41</w:t>
      </w:r>
    </w:p>
    <w:p w14:paraId="29808AD9" w14:textId="77777777" w:rsidR="00B50316" w:rsidRPr="00B50316" w:rsidRDefault="00B50316" w:rsidP="003C0A61">
      <w:pPr>
        <w:pStyle w:val="Textonotapie"/>
        <w:ind w:left="567"/>
        <w:jc w:val="both"/>
        <w:rPr>
          <w:rFonts w:ascii="Arial" w:hAnsi="Arial" w:cs="Arial"/>
          <w:sz w:val="14"/>
          <w:szCs w:val="14"/>
        </w:rPr>
      </w:pPr>
    </w:p>
  </w:footnote>
  <w:footnote w:id="3">
    <w:p w14:paraId="00877C2D" w14:textId="77777777" w:rsidR="00DB7A77" w:rsidRPr="00B50316" w:rsidRDefault="00DB7A77" w:rsidP="00DB7A77">
      <w:pPr>
        <w:pStyle w:val="Textonotapie"/>
        <w:ind w:left="567"/>
        <w:jc w:val="both"/>
        <w:rPr>
          <w:rFonts w:ascii="Arial" w:hAnsi="Arial" w:cs="Arial"/>
          <w:sz w:val="14"/>
          <w:szCs w:val="14"/>
          <w:lang w:val="es-ES_tradnl"/>
        </w:rPr>
      </w:pPr>
      <w:r w:rsidRPr="00B50316">
        <w:rPr>
          <w:rStyle w:val="Refdenotaalpie"/>
          <w:rFonts w:ascii="Arial" w:hAnsi="Arial" w:cs="Arial"/>
          <w:sz w:val="14"/>
          <w:szCs w:val="14"/>
        </w:rPr>
        <w:footnoteRef/>
      </w:r>
      <w:r w:rsidRPr="00B50316">
        <w:rPr>
          <w:rFonts w:ascii="Arial" w:hAnsi="Arial" w:cs="Arial"/>
          <w:sz w:val="14"/>
          <w:szCs w:val="14"/>
        </w:rPr>
        <w:t xml:space="preserve"> </w:t>
      </w:r>
      <w:r w:rsidRPr="00B50316">
        <w:rPr>
          <w:rFonts w:ascii="Arial" w:hAnsi="Arial" w:cs="Arial"/>
          <w:sz w:val="14"/>
          <w:szCs w:val="14"/>
          <w:lang w:val="es-ES_tradnl"/>
        </w:rPr>
        <w:t>Artículo 74. Para asegurar la consecución de los objetivos de esta Ley, los Sujetos Obligados adoptarán esquemas de revisión, mediante la utilización del Análisis de Impacto Regulatorio de:</w:t>
      </w:r>
    </w:p>
    <w:p w14:paraId="68B37A3A"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I. a la II. …</w:t>
      </w:r>
    </w:p>
    <w:p w14:paraId="4864DF88"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w:t>
      </w:r>
    </w:p>
    <w:p w14:paraId="60E04F41"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Asimismo, la Autoridad de Mejora Regulatoria podrá efectuar recomendaciones con el objeto de contribuir a cumplir con los objetivos relacionados con la Regulación, incluyendo propuestas de modificación al marco regulatorio aplicable.</w:t>
      </w:r>
    </w:p>
    <w:p w14:paraId="184D4B34" w14:textId="77777777" w:rsidR="00DB7A77" w:rsidRPr="00B50316" w:rsidRDefault="00DB7A77" w:rsidP="00DB7A77">
      <w:pPr>
        <w:pStyle w:val="Textonotapie"/>
        <w:ind w:left="567"/>
        <w:jc w:val="both"/>
        <w:rPr>
          <w:rFonts w:ascii="Arial" w:hAnsi="Arial" w:cs="Arial"/>
          <w:sz w:val="14"/>
          <w:szCs w:val="14"/>
          <w:lang w:val="es-ES_tradnl"/>
        </w:rPr>
      </w:pPr>
    </w:p>
  </w:footnote>
  <w:footnote w:id="4">
    <w:p w14:paraId="684AD484" w14:textId="77777777" w:rsidR="00DB7A77" w:rsidRPr="00B50316" w:rsidRDefault="00DB7A77" w:rsidP="00DB7A77">
      <w:pPr>
        <w:pStyle w:val="Textonotapie"/>
        <w:ind w:left="567"/>
        <w:jc w:val="both"/>
        <w:rPr>
          <w:rFonts w:ascii="Arial" w:hAnsi="Arial" w:cs="Arial"/>
          <w:sz w:val="14"/>
          <w:szCs w:val="14"/>
          <w:lang w:val="es-ES_tradnl"/>
        </w:rPr>
      </w:pPr>
      <w:r w:rsidRPr="00B50316">
        <w:rPr>
          <w:rStyle w:val="Refdenotaalpie"/>
          <w:rFonts w:ascii="Arial" w:hAnsi="Arial" w:cs="Arial"/>
          <w:sz w:val="14"/>
          <w:szCs w:val="14"/>
        </w:rPr>
        <w:footnoteRef/>
      </w:r>
      <w:r w:rsidRPr="00B50316">
        <w:rPr>
          <w:rFonts w:ascii="Arial" w:hAnsi="Arial" w:cs="Arial"/>
          <w:sz w:val="14"/>
          <w:szCs w:val="14"/>
        </w:rPr>
        <w:t xml:space="preserve"> </w:t>
      </w:r>
      <w:r w:rsidRPr="00B50316">
        <w:rPr>
          <w:rFonts w:ascii="Arial" w:hAnsi="Arial" w:cs="Arial"/>
          <w:sz w:val="14"/>
          <w:szCs w:val="14"/>
          <w:lang w:val="es-ES_tradnl"/>
        </w:rPr>
        <w:t>Artículo 32.- Además de las atribuciones contenidas en la Ley General, la Ley Estatal, el Reglamento de Gobierno y el Reglamento Interior, la persona titular de la Comisión Municipal tendrá las siguientes atribuciones:</w:t>
      </w:r>
    </w:p>
    <w:p w14:paraId="19C7C8DC"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I. …</w:t>
      </w:r>
    </w:p>
    <w:p w14:paraId="207171E5"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 xml:space="preserve">II. Analizar las propuestas regulatorias que sean sometidas a su consideración y, en su caso, emitir las observaciones correspondientes; </w:t>
      </w:r>
    </w:p>
    <w:p w14:paraId="3B2B2D17"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III. Dictaminar los Análisis de Impacto Regulatorio necesarios o, en su caso otorgar la exención de su elaboración, en términos de lo dispuesto por la normativa aplicable;</w:t>
      </w:r>
    </w:p>
    <w:p w14:paraId="026DAF77"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IV. a la VIII. …</w:t>
      </w:r>
    </w:p>
    <w:p w14:paraId="44F10F1E"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IX. Proponer, promover y desarrollar acciones de análisis, formación y asesoramiento para la mejora de la calidad normativa, sin perjuicio de la competencia de la Consejería Jurídica Municipal;</w:t>
      </w:r>
    </w:p>
    <w:p w14:paraId="6EDDD627" w14:textId="77777777" w:rsidR="00DB7A77" w:rsidRPr="00B50316" w:rsidRDefault="00DB7A77" w:rsidP="00DB7A77">
      <w:pPr>
        <w:pStyle w:val="Textonotapie"/>
        <w:ind w:left="567"/>
        <w:jc w:val="both"/>
        <w:rPr>
          <w:rFonts w:ascii="Arial" w:hAnsi="Arial" w:cs="Arial"/>
          <w:sz w:val="14"/>
          <w:szCs w:val="14"/>
          <w:lang w:val="es-ES_tradnl"/>
        </w:rPr>
      </w:pPr>
      <w:r w:rsidRPr="00B50316">
        <w:rPr>
          <w:rFonts w:ascii="Arial" w:hAnsi="Arial" w:cs="Arial"/>
          <w:sz w:val="14"/>
          <w:szCs w:val="14"/>
          <w:lang w:val="es-ES_tradnl"/>
        </w:rPr>
        <w:t>X. a la XI. …</w:t>
      </w:r>
    </w:p>
    <w:p w14:paraId="4F6D885C" w14:textId="77777777" w:rsidR="00DB7A77" w:rsidRPr="00B50316" w:rsidRDefault="00DB7A77" w:rsidP="00DB7A77">
      <w:pPr>
        <w:pStyle w:val="Textonotapie"/>
        <w:ind w:left="567"/>
        <w:jc w:val="both"/>
        <w:rPr>
          <w:rFonts w:ascii="Arial" w:hAnsi="Arial" w:cs="Arial"/>
          <w:sz w:val="14"/>
          <w:szCs w:val="14"/>
          <w:lang w:val="es-ES_tradnl"/>
        </w:rPr>
      </w:pPr>
    </w:p>
  </w:footnote>
  <w:footnote w:id="5">
    <w:p w14:paraId="55066561" w14:textId="5707F7B6" w:rsidR="00AC2DFA" w:rsidRDefault="00AC2DFA" w:rsidP="000E6059">
      <w:pPr>
        <w:pStyle w:val="Textonotapie"/>
        <w:ind w:left="567"/>
        <w:jc w:val="both"/>
      </w:pPr>
      <w:r>
        <w:rPr>
          <w:rStyle w:val="Refdenotaalpie"/>
        </w:rPr>
        <w:footnoteRef/>
      </w:r>
      <w:r>
        <w:t xml:space="preserve"> </w:t>
      </w:r>
      <w:r w:rsidR="000E6059" w:rsidRPr="00AE455C">
        <w:rPr>
          <w:rStyle w:val="Ninguno"/>
          <w:rFonts w:ascii="Arial" w:hAnsi="Arial" w:cs="Arial"/>
          <w:sz w:val="16"/>
          <w:szCs w:val="16"/>
        </w:rPr>
        <w:t xml:space="preserve">GONZÁLEZ IBARRA, Juan de Dios y SIERRA BECERRA, Bernardo. </w:t>
      </w:r>
      <w:r w:rsidR="000E6059" w:rsidRPr="00AE455C">
        <w:rPr>
          <w:rStyle w:val="Ninguno"/>
          <w:rFonts w:ascii="Arial" w:hAnsi="Arial" w:cs="Arial"/>
          <w:i/>
          <w:iCs/>
          <w:sz w:val="16"/>
          <w:szCs w:val="16"/>
          <w:u w:val="single"/>
        </w:rPr>
        <w:t>Técnica, ciencia y epistemología legislativas</w:t>
      </w:r>
      <w:r w:rsidR="000E6059" w:rsidRPr="00AE455C">
        <w:rPr>
          <w:rStyle w:val="Ninguno"/>
          <w:rFonts w:ascii="Arial" w:hAnsi="Arial" w:cs="Arial"/>
          <w:sz w:val="16"/>
          <w:szCs w:val="16"/>
        </w:rPr>
        <w:t xml:space="preserve">. Editorial </w:t>
      </w:r>
      <w:proofErr w:type="spellStart"/>
      <w:r w:rsidR="000E6059" w:rsidRPr="00AE455C">
        <w:rPr>
          <w:rStyle w:val="Ninguno"/>
          <w:rFonts w:ascii="Arial" w:hAnsi="Arial" w:cs="Arial"/>
          <w:sz w:val="16"/>
          <w:szCs w:val="16"/>
        </w:rPr>
        <w:t>fontamara</w:t>
      </w:r>
      <w:proofErr w:type="spellEnd"/>
      <w:r w:rsidR="000E6059" w:rsidRPr="00AE455C">
        <w:rPr>
          <w:rStyle w:val="Ninguno"/>
          <w:rFonts w:ascii="Arial" w:hAnsi="Arial" w:cs="Arial"/>
          <w:sz w:val="16"/>
          <w:szCs w:val="16"/>
        </w:rPr>
        <w:t xml:space="preserve"> en colaboración con el Poder Legislativo del Estado de Morelos y la Universidad Autónoma del Estado de Morelos, México 2006, p.161.</w:t>
      </w:r>
    </w:p>
  </w:footnote>
  <w:footnote w:id="6">
    <w:p w14:paraId="1B14CC8F" w14:textId="4367BDBF" w:rsidR="009D6F03" w:rsidRDefault="009D6F03" w:rsidP="008350BC">
      <w:pPr>
        <w:pStyle w:val="Textonotapie"/>
        <w:ind w:left="567"/>
        <w:jc w:val="both"/>
        <w:rPr>
          <w:rFonts w:ascii="Arial" w:hAnsi="Arial" w:cs="Arial"/>
          <w:sz w:val="14"/>
          <w:szCs w:val="14"/>
        </w:rPr>
      </w:pPr>
      <w:r w:rsidRPr="008350BC">
        <w:rPr>
          <w:rStyle w:val="Refdenotaalpie"/>
          <w:rFonts w:ascii="Arial" w:hAnsi="Arial" w:cs="Arial"/>
          <w:sz w:val="14"/>
          <w:szCs w:val="14"/>
        </w:rPr>
        <w:footnoteRef/>
      </w:r>
      <w:r w:rsidRPr="008350BC">
        <w:rPr>
          <w:rFonts w:ascii="Arial" w:hAnsi="Arial" w:cs="Arial"/>
          <w:sz w:val="14"/>
          <w:szCs w:val="14"/>
        </w:rPr>
        <w:t xml:space="preserve"> CABRERA DIRCIO, Julio. Estado y Justicia Alternativa: </w:t>
      </w:r>
      <w:r w:rsidRPr="008350BC">
        <w:rPr>
          <w:rFonts w:ascii="Arial" w:hAnsi="Arial" w:cs="Arial"/>
          <w:i/>
          <w:iCs/>
          <w:sz w:val="14"/>
          <w:szCs w:val="14"/>
          <w:u w:val="single"/>
        </w:rPr>
        <w:t>Reforma al Artículo 17 Constitucional.</w:t>
      </w:r>
      <w:r w:rsidR="008350BC" w:rsidRPr="008350BC">
        <w:rPr>
          <w:rFonts w:ascii="Arial" w:hAnsi="Arial" w:cs="Arial"/>
          <w:i/>
          <w:iCs/>
          <w:sz w:val="14"/>
          <w:szCs w:val="14"/>
          <w:u w:val="single"/>
        </w:rPr>
        <w:t xml:space="preserve"> </w:t>
      </w:r>
      <w:r w:rsidR="008350BC" w:rsidRPr="008350BC">
        <w:rPr>
          <w:rFonts w:ascii="Arial" w:hAnsi="Arial" w:cs="Arial"/>
          <w:sz w:val="14"/>
          <w:szCs w:val="14"/>
        </w:rPr>
        <w:t>Editorial Ediciones Coyoacán 2012</w:t>
      </w:r>
      <w:r w:rsidR="00E72368">
        <w:rPr>
          <w:rFonts w:ascii="Arial" w:hAnsi="Arial" w:cs="Arial"/>
          <w:sz w:val="14"/>
          <w:szCs w:val="14"/>
        </w:rPr>
        <w:t xml:space="preserve"> p.46</w:t>
      </w:r>
      <w:r w:rsidR="008350BC" w:rsidRPr="008350BC">
        <w:rPr>
          <w:rFonts w:ascii="Arial" w:hAnsi="Arial" w:cs="Arial"/>
          <w:sz w:val="14"/>
          <w:szCs w:val="14"/>
        </w:rPr>
        <w:t>.</w:t>
      </w:r>
    </w:p>
    <w:p w14:paraId="348480DD" w14:textId="77777777" w:rsidR="008350BC" w:rsidRPr="008350BC" w:rsidRDefault="008350BC" w:rsidP="008350BC">
      <w:pPr>
        <w:pStyle w:val="Textonotapie"/>
        <w:ind w:left="567"/>
        <w:jc w:val="both"/>
        <w:rPr>
          <w:rFonts w:ascii="Arial" w:hAnsi="Arial" w:cs="Arial"/>
          <w:sz w:val="14"/>
          <w:szCs w:val="14"/>
        </w:rPr>
      </w:pPr>
    </w:p>
  </w:footnote>
  <w:footnote w:id="7">
    <w:p w14:paraId="259932B6" w14:textId="510F7B01" w:rsidR="00387382" w:rsidRDefault="00387382" w:rsidP="00634247">
      <w:pPr>
        <w:pStyle w:val="Textonotapie"/>
        <w:ind w:left="567"/>
        <w:rPr>
          <w:rFonts w:ascii="Arial" w:hAnsi="Arial" w:cs="Arial"/>
          <w:sz w:val="14"/>
          <w:szCs w:val="14"/>
        </w:rPr>
      </w:pPr>
      <w:r w:rsidRPr="00634247">
        <w:rPr>
          <w:rStyle w:val="Refdenotaalpie"/>
          <w:rFonts w:ascii="Arial" w:hAnsi="Arial" w:cs="Arial"/>
          <w:sz w:val="14"/>
          <w:szCs w:val="14"/>
        </w:rPr>
        <w:footnoteRef/>
      </w:r>
      <w:r w:rsidRPr="00634247">
        <w:rPr>
          <w:rFonts w:ascii="Arial" w:hAnsi="Arial" w:cs="Arial"/>
          <w:sz w:val="14"/>
          <w:szCs w:val="14"/>
        </w:rPr>
        <w:t xml:space="preserve"> </w:t>
      </w:r>
      <w:r w:rsidR="00634247" w:rsidRPr="00634247">
        <w:rPr>
          <w:rFonts w:ascii="Arial" w:hAnsi="Arial" w:cs="Arial"/>
          <w:sz w:val="14"/>
          <w:szCs w:val="14"/>
        </w:rPr>
        <w:t xml:space="preserve">B. Gretel, </w:t>
      </w:r>
      <w:r w:rsidR="00634247" w:rsidRPr="00634247">
        <w:rPr>
          <w:rFonts w:ascii="Arial" w:hAnsi="Arial" w:cs="Arial"/>
          <w:i/>
          <w:iCs/>
          <w:sz w:val="14"/>
          <w:szCs w:val="14"/>
          <w:u w:val="single"/>
        </w:rPr>
        <w:t>La forma de las leyes. 10 estudios sobre técnica legislativa</w:t>
      </w:r>
      <w:r w:rsidR="00634247" w:rsidRPr="00634247">
        <w:rPr>
          <w:rFonts w:ascii="Arial" w:hAnsi="Arial" w:cs="Arial"/>
          <w:sz w:val="14"/>
          <w:szCs w:val="14"/>
        </w:rPr>
        <w:t xml:space="preserve">, España, Bosh / Centro de </w:t>
      </w:r>
      <w:proofErr w:type="spellStart"/>
      <w:r w:rsidR="00634247" w:rsidRPr="00634247">
        <w:rPr>
          <w:rFonts w:ascii="Arial" w:hAnsi="Arial" w:cs="Arial"/>
          <w:sz w:val="14"/>
          <w:szCs w:val="14"/>
        </w:rPr>
        <w:t>eStudios</w:t>
      </w:r>
      <w:proofErr w:type="spellEnd"/>
      <w:r w:rsidR="00634247" w:rsidRPr="00634247">
        <w:rPr>
          <w:rFonts w:ascii="Arial" w:hAnsi="Arial" w:cs="Arial"/>
          <w:sz w:val="14"/>
          <w:szCs w:val="14"/>
        </w:rPr>
        <w:t xml:space="preserve"> Constitucionales (Cuadernos y Debates), 1986, pp.112, 152 y </w:t>
      </w:r>
      <w:proofErr w:type="spellStart"/>
      <w:r w:rsidR="00634247" w:rsidRPr="00634247">
        <w:rPr>
          <w:rFonts w:ascii="Arial" w:hAnsi="Arial" w:cs="Arial"/>
          <w:sz w:val="14"/>
          <w:szCs w:val="14"/>
        </w:rPr>
        <w:t>ss</w:t>
      </w:r>
      <w:proofErr w:type="spellEnd"/>
    </w:p>
    <w:p w14:paraId="59EEB499" w14:textId="77777777" w:rsidR="00634247" w:rsidRPr="00634247" w:rsidRDefault="00634247" w:rsidP="00634247">
      <w:pPr>
        <w:pStyle w:val="Textonotapie"/>
        <w:ind w:left="567"/>
        <w:rPr>
          <w:rFonts w:ascii="Arial" w:hAnsi="Arial" w:cs="Arial"/>
          <w:sz w:val="14"/>
          <w:szCs w:val="14"/>
        </w:rPr>
      </w:pPr>
    </w:p>
  </w:footnote>
  <w:footnote w:id="8">
    <w:p w14:paraId="5A637428" w14:textId="58C35445" w:rsidR="00F40C99" w:rsidRPr="00E05091" w:rsidRDefault="00F40C99" w:rsidP="00E05091">
      <w:pPr>
        <w:ind w:left="567"/>
        <w:rPr>
          <w:rFonts w:ascii="Arial" w:eastAsia="Times New Roman" w:hAnsi="Arial" w:cs="Arial"/>
          <w:sz w:val="14"/>
          <w:szCs w:val="14"/>
          <w:lang w:val="es-ES" w:eastAsia="es-ES"/>
        </w:rPr>
      </w:pPr>
      <w:r w:rsidRPr="00E05091">
        <w:rPr>
          <w:rStyle w:val="Refdenotaalpie"/>
          <w:rFonts w:ascii="Arial" w:hAnsi="Arial" w:cs="Arial"/>
          <w:sz w:val="14"/>
          <w:szCs w:val="14"/>
        </w:rPr>
        <w:footnoteRef/>
      </w:r>
      <w:r w:rsidRPr="00E05091">
        <w:rPr>
          <w:rFonts w:ascii="Arial" w:hAnsi="Arial" w:cs="Arial"/>
          <w:sz w:val="14"/>
          <w:szCs w:val="14"/>
        </w:rPr>
        <w:t xml:space="preserve"> </w:t>
      </w:r>
      <w:r w:rsidR="00E05091" w:rsidRPr="00E05091">
        <w:rPr>
          <w:rFonts w:ascii="Arial" w:eastAsia="Times New Roman" w:hAnsi="Arial" w:cs="Arial"/>
          <w:sz w:val="14"/>
          <w:szCs w:val="14"/>
          <w:lang w:val="es-ES" w:eastAsia="es-ES"/>
        </w:rPr>
        <w:t>CABRERA DIRCIO</w:t>
      </w:r>
      <w:r w:rsidRPr="00E05091">
        <w:rPr>
          <w:rFonts w:ascii="Arial" w:eastAsia="Times New Roman" w:hAnsi="Arial" w:cs="Arial"/>
          <w:sz w:val="14"/>
          <w:szCs w:val="14"/>
          <w:lang w:val="es-ES" w:eastAsia="es-ES"/>
        </w:rPr>
        <w:t xml:space="preserve">, Julio, </w:t>
      </w:r>
      <w:r w:rsidRPr="00E05091">
        <w:rPr>
          <w:rFonts w:ascii="Arial" w:eastAsia="Times New Roman" w:hAnsi="Arial" w:cs="Arial"/>
          <w:i/>
          <w:iCs/>
          <w:sz w:val="14"/>
          <w:szCs w:val="14"/>
          <w:u w:val="single"/>
          <w:lang w:val="es-ES" w:eastAsia="es-ES"/>
        </w:rPr>
        <w:t>Mediación penal y derechos humanos</w:t>
      </w:r>
      <w:r w:rsidRPr="00E05091">
        <w:rPr>
          <w:rFonts w:ascii="Arial" w:eastAsia="Times New Roman" w:hAnsi="Arial" w:cs="Arial"/>
          <w:sz w:val="14"/>
          <w:szCs w:val="14"/>
          <w:lang w:val="es-ES" w:eastAsia="es-ES"/>
        </w:rPr>
        <w:t>, México, Ediciones Coyoacán, 2014.</w:t>
      </w:r>
    </w:p>
    <w:p w14:paraId="2DCC5258" w14:textId="346C0FDA" w:rsidR="00F40C99" w:rsidRPr="00E05091" w:rsidRDefault="00F40C99" w:rsidP="00E05091">
      <w:pPr>
        <w:pStyle w:val="Textonotapie"/>
        <w:ind w:left="567"/>
        <w:rPr>
          <w:rFonts w:ascii="Arial" w:hAnsi="Arial" w:cs="Arial"/>
          <w:sz w:val="14"/>
          <w:szCs w:val="14"/>
        </w:rPr>
      </w:pPr>
    </w:p>
  </w:footnote>
  <w:footnote w:id="9">
    <w:p w14:paraId="1452843B" w14:textId="0BC5FC20" w:rsidR="00E05091" w:rsidRPr="00E05091" w:rsidRDefault="00E05091" w:rsidP="00E05091">
      <w:pPr>
        <w:pStyle w:val="Textonotapie"/>
        <w:ind w:left="567"/>
        <w:rPr>
          <w:rFonts w:ascii="Arial" w:hAnsi="Arial" w:cs="Arial"/>
          <w:sz w:val="14"/>
          <w:szCs w:val="14"/>
        </w:rPr>
      </w:pPr>
      <w:r w:rsidRPr="00E05091">
        <w:rPr>
          <w:rStyle w:val="Refdenotaalpie"/>
          <w:rFonts w:ascii="Arial" w:hAnsi="Arial" w:cs="Arial"/>
          <w:sz w:val="14"/>
          <w:szCs w:val="14"/>
        </w:rPr>
        <w:footnoteRef/>
      </w:r>
      <w:r w:rsidRPr="00E05091">
        <w:rPr>
          <w:rFonts w:ascii="Arial" w:hAnsi="Arial" w:cs="Arial"/>
          <w:sz w:val="14"/>
          <w:szCs w:val="14"/>
        </w:rPr>
        <w:t xml:space="preserve"> 12 BUENROSTRO BÁEZ, Rosalía et al., </w:t>
      </w:r>
      <w:r w:rsidRPr="00E05091">
        <w:rPr>
          <w:rFonts w:ascii="Arial" w:hAnsi="Arial" w:cs="Arial"/>
          <w:i/>
          <w:iCs/>
          <w:sz w:val="14"/>
          <w:szCs w:val="14"/>
          <w:u w:val="single"/>
        </w:rPr>
        <w:t>Justicia alternativa y el sistema acusatorio</w:t>
      </w:r>
      <w:r w:rsidRPr="00E05091">
        <w:rPr>
          <w:rFonts w:ascii="Arial" w:hAnsi="Arial" w:cs="Arial"/>
          <w:sz w:val="14"/>
          <w:szCs w:val="14"/>
        </w:rPr>
        <w:t xml:space="preserve">, México, </w:t>
      </w:r>
      <w:proofErr w:type="spellStart"/>
      <w:r w:rsidRPr="00E05091">
        <w:rPr>
          <w:rFonts w:ascii="Arial" w:hAnsi="Arial" w:cs="Arial"/>
          <w:sz w:val="14"/>
          <w:szCs w:val="14"/>
        </w:rPr>
        <w:t>Segob</w:t>
      </w:r>
      <w:proofErr w:type="spellEnd"/>
      <w:r w:rsidRPr="00E05091">
        <w:rPr>
          <w:rFonts w:ascii="Arial" w:hAnsi="Arial" w:cs="Arial"/>
          <w:sz w:val="14"/>
          <w:szCs w:val="14"/>
        </w:rPr>
        <w:t>, 2015, pp. 231 y 232.</w:t>
      </w:r>
    </w:p>
    <w:p w14:paraId="722021BD" w14:textId="77777777" w:rsidR="00E05091" w:rsidRPr="00E05091" w:rsidRDefault="00E05091" w:rsidP="00E05091">
      <w:pPr>
        <w:pStyle w:val="Textonotapie"/>
        <w:ind w:left="567"/>
        <w:rPr>
          <w:rFonts w:ascii="Arial" w:hAnsi="Arial" w:cs="Arial"/>
          <w:sz w:val="14"/>
          <w:szCs w:val="14"/>
          <w:lang w:val="es-MX"/>
        </w:rPr>
      </w:pPr>
    </w:p>
  </w:footnote>
  <w:footnote w:id="10">
    <w:p w14:paraId="749194D6" w14:textId="77777777" w:rsidR="00DD6AF4" w:rsidRPr="00E05091" w:rsidRDefault="00DD6AF4" w:rsidP="00E05091">
      <w:pPr>
        <w:pStyle w:val="Textonotapie"/>
        <w:ind w:left="567"/>
        <w:jc w:val="both"/>
        <w:rPr>
          <w:rFonts w:ascii="Arial" w:hAnsi="Arial" w:cs="Arial"/>
          <w:sz w:val="14"/>
          <w:szCs w:val="14"/>
        </w:rPr>
      </w:pPr>
      <w:r w:rsidRPr="00E05091">
        <w:rPr>
          <w:rStyle w:val="Refdenotaalpie"/>
          <w:rFonts w:ascii="Arial" w:hAnsi="Arial" w:cs="Arial"/>
          <w:sz w:val="14"/>
          <w:szCs w:val="14"/>
        </w:rPr>
        <w:footnoteRef/>
      </w:r>
      <w:r w:rsidRPr="00E05091">
        <w:rPr>
          <w:rFonts w:ascii="Arial" w:hAnsi="Arial" w:cs="Arial"/>
          <w:sz w:val="14"/>
          <w:szCs w:val="14"/>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Pr="00E05091" w:rsidRDefault="00DD6AF4" w:rsidP="00E05091">
      <w:pPr>
        <w:pStyle w:val="Textonotapie"/>
        <w:ind w:left="567"/>
        <w:jc w:val="both"/>
        <w:rPr>
          <w:rFonts w:ascii="Arial" w:hAnsi="Arial" w:cs="Arial"/>
          <w:sz w:val="14"/>
          <w:szCs w:val="14"/>
        </w:rPr>
      </w:pPr>
    </w:p>
    <w:p w14:paraId="181A717E" w14:textId="77777777" w:rsidR="00DD6AF4" w:rsidRPr="00E05091" w:rsidRDefault="00DD6AF4" w:rsidP="00E05091">
      <w:pPr>
        <w:pStyle w:val="Textonotapie"/>
        <w:ind w:left="567"/>
        <w:jc w:val="both"/>
        <w:rPr>
          <w:rFonts w:ascii="Arial" w:hAnsi="Arial" w:cs="Arial"/>
          <w:sz w:val="14"/>
          <w:szCs w:val="14"/>
        </w:rPr>
      </w:pPr>
      <w:r w:rsidRPr="00E05091">
        <w:rPr>
          <w:rFonts w:ascii="Arial" w:hAnsi="Arial" w:cs="Arial"/>
          <w:sz w:val="14"/>
          <w:szCs w:val="14"/>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Pr="00E05091" w:rsidRDefault="00DD6AF4" w:rsidP="00E05091">
      <w:pPr>
        <w:pStyle w:val="Textonotapie"/>
        <w:ind w:left="567"/>
        <w:jc w:val="both"/>
        <w:rPr>
          <w:rFonts w:ascii="Arial" w:hAnsi="Arial" w:cs="Arial"/>
          <w:sz w:val="14"/>
          <w:szCs w:val="14"/>
          <w:lang w:val="es-MX"/>
        </w:rPr>
      </w:pPr>
    </w:p>
  </w:footnote>
  <w:footnote w:id="11">
    <w:p w14:paraId="66226B53" w14:textId="77777777" w:rsidR="00DD6AF4" w:rsidRPr="00E05091" w:rsidRDefault="00DD6AF4" w:rsidP="00E05091">
      <w:pPr>
        <w:pStyle w:val="Textonotapie"/>
        <w:ind w:left="567"/>
        <w:jc w:val="both"/>
        <w:rPr>
          <w:rFonts w:ascii="Arial" w:hAnsi="Arial" w:cs="Arial"/>
          <w:sz w:val="14"/>
          <w:szCs w:val="14"/>
        </w:rPr>
      </w:pPr>
      <w:r w:rsidRPr="00E05091">
        <w:rPr>
          <w:rStyle w:val="Refdenotaalpie"/>
          <w:rFonts w:ascii="Arial" w:hAnsi="Arial" w:cs="Arial"/>
          <w:sz w:val="14"/>
          <w:szCs w:val="14"/>
        </w:rPr>
        <w:footnoteRef/>
      </w:r>
      <w:r w:rsidRPr="00E05091">
        <w:rPr>
          <w:rFonts w:ascii="Arial" w:hAnsi="Arial" w:cs="Arial"/>
          <w:sz w:val="14"/>
          <w:szCs w:val="14"/>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E05091">
      <w:pPr>
        <w:pStyle w:val="Textonotapie"/>
        <w:ind w:left="567"/>
        <w:jc w:val="both"/>
        <w:rPr>
          <w:lang w:val="es-MX"/>
        </w:rPr>
      </w:pPr>
      <w:r w:rsidRPr="00E05091">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3F0"/>
    <w:multiLevelType w:val="hybridMultilevel"/>
    <w:tmpl w:val="BE7C31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7BF5B85"/>
    <w:multiLevelType w:val="hybridMultilevel"/>
    <w:tmpl w:val="9948FBA0"/>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C275448"/>
    <w:multiLevelType w:val="hybridMultilevel"/>
    <w:tmpl w:val="0EA2A59C"/>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511720A"/>
    <w:multiLevelType w:val="hybridMultilevel"/>
    <w:tmpl w:val="68B4340C"/>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3EA7ACC"/>
    <w:multiLevelType w:val="hybridMultilevel"/>
    <w:tmpl w:val="7A6AD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305A2936"/>
    <w:multiLevelType w:val="hybridMultilevel"/>
    <w:tmpl w:val="8D6A830E"/>
    <w:styleLink w:val="Estiloimportado8"/>
    <w:lvl w:ilvl="0" w:tplc="54A6D80C">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DCAEDE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38837CC">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BCC7332">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CF0947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E6AA286">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2838D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5AECEF8">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8E4FD5C">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7A0B36"/>
    <w:multiLevelType w:val="hybridMultilevel"/>
    <w:tmpl w:val="CEA29288"/>
    <w:lvl w:ilvl="0" w:tplc="0D526222">
      <w:start w:val="1"/>
      <w:numFmt w:val="upperRoman"/>
      <w:lvlText w:val="%1."/>
      <w:lvlJc w:val="righ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53C15C8A"/>
    <w:multiLevelType w:val="hybridMultilevel"/>
    <w:tmpl w:val="10CEEB9E"/>
    <w:lvl w:ilvl="0" w:tplc="A3B835A2">
      <w:start w:val="1"/>
      <w:numFmt w:val="upperRoman"/>
      <w:lvlText w:val="%1."/>
      <w:lvlJc w:val="left"/>
      <w:pPr>
        <w:ind w:left="720" w:hanging="360"/>
      </w:pPr>
      <w:rPr>
        <w:rFonts w:asciiTheme="minorHAnsi" w:eastAsia="Arial MT" w:hAnsiTheme="minorHAnsi" w:cstheme="minorHAnsi"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E52909"/>
    <w:multiLevelType w:val="hybridMultilevel"/>
    <w:tmpl w:val="00F4FB68"/>
    <w:lvl w:ilvl="0" w:tplc="78502012">
      <w:start w:val="1"/>
      <w:numFmt w:val="decimal"/>
      <w:lvlText w:val="%1."/>
      <w:lvlJc w:val="left"/>
      <w:pPr>
        <w:ind w:left="1287" w:hanging="360"/>
      </w:pPr>
      <w:rPr>
        <w:i w:val="0"/>
        <w:i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758A005B"/>
    <w:multiLevelType w:val="hybridMultilevel"/>
    <w:tmpl w:val="8D6A830E"/>
    <w:numStyleLink w:val="Estiloimportado8"/>
  </w:abstractNum>
  <w:abstractNum w:abstractNumId="12" w15:restartNumberingAfterBreak="0">
    <w:nsid w:val="76A61FD5"/>
    <w:multiLevelType w:val="hybridMultilevel"/>
    <w:tmpl w:val="F24601F8"/>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1528761240">
    <w:abstractNumId w:val="8"/>
  </w:num>
  <w:num w:numId="2" w16cid:durableId="136383993">
    <w:abstractNumId w:val="7"/>
  </w:num>
  <w:num w:numId="3" w16cid:durableId="1731153740">
    <w:abstractNumId w:val="9"/>
  </w:num>
  <w:num w:numId="4" w16cid:durableId="286818227">
    <w:abstractNumId w:val="6"/>
  </w:num>
  <w:num w:numId="5" w16cid:durableId="1964650575">
    <w:abstractNumId w:val="1"/>
  </w:num>
  <w:num w:numId="6" w16cid:durableId="776102737">
    <w:abstractNumId w:val="10"/>
  </w:num>
  <w:num w:numId="7" w16cid:durableId="1706522699">
    <w:abstractNumId w:val="4"/>
  </w:num>
  <w:num w:numId="8" w16cid:durableId="1081758308">
    <w:abstractNumId w:val="0"/>
  </w:num>
  <w:num w:numId="9" w16cid:durableId="14575723">
    <w:abstractNumId w:val="3"/>
  </w:num>
  <w:num w:numId="10" w16cid:durableId="349914642">
    <w:abstractNumId w:val="12"/>
  </w:num>
  <w:num w:numId="11" w16cid:durableId="63719969">
    <w:abstractNumId w:val="5"/>
  </w:num>
  <w:num w:numId="12" w16cid:durableId="658920018">
    <w:abstractNumId w:val="11"/>
  </w:num>
  <w:num w:numId="13" w16cid:durableId="817301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2F3"/>
    <w:rsid w:val="000254DC"/>
    <w:rsid w:val="0003117A"/>
    <w:rsid w:val="000314D3"/>
    <w:rsid w:val="00031B3E"/>
    <w:rsid w:val="000368D0"/>
    <w:rsid w:val="000406FB"/>
    <w:rsid w:val="000436D4"/>
    <w:rsid w:val="00055566"/>
    <w:rsid w:val="00080452"/>
    <w:rsid w:val="000847E8"/>
    <w:rsid w:val="000863C3"/>
    <w:rsid w:val="000B3A07"/>
    <w:rsid w:val="000C0840"/>
    <w:rsid w:val="000D17A2"/>
    <w:rsid w:val="000D2156"/>
    <w:rsid w:val="000E28EF"/>
    <w:rsid w:val="000E40C0"/>
    <w:rsid w:val="000E5E0E"/>
    <w:rsid w:val="000E6059"/>
    <w:rsid w:val="001141BD"/>
    <w:rsid w:val="001255DA"/>
    <w:rsid w:val="00127C6C"/>
    <w:rsid w:val="001352AE"/>
    <w:rsid w:val="001356BD"/>
    <w:rsid w:val="001409E4"/>
    <w:rsid w:val="0015347E"/>
    <w:rsid w:val="0015481E"/>
    <w:rsid w:val="00154C31"/>
    <w:rsid w:val="00154D93"/>
    <w:rsid w:val="001565A8"/>
    <w:rsid w:val="00176896"/>
    <w:rsid w:val="00177376"/>
    <w:rsid w:val="00183EEA"/>
    <w:rsid w:val="00185163"/>
    <w:rsid w:val="001A1009"/>
    <w:rsid w:val="001A4695"/>
    <w:rsid w:val="001A57B7"/>
    <w:rsid w:val="001B6E65"/>
    <w:rsid w:val="001D5519"/>
    <w:rsid w:val="001E586E"/>
    <w:rsid w:val="001E748F"/>
    <w:rsid w:val="001F1369"/>
    <w:rsid w:val="001F1DCC"/>
    <w:rsid w:val="001F2305"/>
    <w:rsid w:val="001F4588"/>
    <w:rsid w:val="001F5EBE"/>
    <w:rsid w:val="00203921"/>
    <w:rsid w:val="0020498C"/>
    <w:rsid w:val="00207AB9"/>
    <w:rsid w:val="002151C0"/>
    <w:rsid w:val="00217A23"/>
    <w:rsid w:val="002303FF"/>
    <w:rsid w:val="0023369D"/>
    <w:rsid w:val="00246DBA"/>
    <w:rsid w:val="002524E2"/>
    <w:rsid w:val="002638F3"/>
    <w:rsid w:val="002672CB"/>
    <w:rsid w:val="002735D8"/>
    <w:rsid w:val="00280D2A"/>
    <w:rsid w:val="00296308"/>
    <w:rsid w:val="002970B8"/>
    <w:rsid w:val="00297490"/>
    <w:rsid w:val="002A2AFF"/>
    <w:rsid w:val="002A6480"/>
    <w:rsid w:val="002A722C"/>
    <w:rsid w:val="002B3B33"/>
    <w:rsid w:val="002B40E0"/>
    <w:rsid w:val="002C0920"/>
    <w:rsid w:val="002C10B1"/>
    <w:rsid w:val="002C32E2"/>
    <w:rsid w:val="002E1D79"/>
    <w:rsid w:val="002E207C"/>
    <w:rsid w:val="002F55F0"/>
    <w:rsid w:val="002F5CDD"/>
    <w:rsid w:val="00301507"/>
    <w:rsid w:val="003029CE"/>
    <w:rsid w:val="00325AF3"/>
    <w:rsid w:val="003279EE"/>
    <w:rsid w:val="00331A6F"/>
    <w:rsid w:val="0034225A"/>
    <w:rsid w:val="00353669"/>
    <w:rsid w:val="00387382"/>
    <w:rsid w:val="00397948"/>
    <w:rsid w:val="003A35BC"/>
    <w:rsid w:val="003A378E"/>
    <w:rsid w:val="003B5F86"/>
    <w:rsid w:val="003C0A61"/>
    <w:rsid w:val="003C2135"/>
    <w:rsid w:val="003C5ECD"/>
    <w:rsid w:val="003F06D2"/>
    <w:rsid w:val="003F159A"/>
    <w:rsid w:val="003F7806"/>
    <w:rsid w:val="0040607F"/>
    <w:rsid w:val="00407F5A"/>
    <w:rsid w:val="00411203"/>
    <w:rsid w:val="00411A3F"/>
    <w:rsid w:val="00431ABD"/>
    <w:rsid w:val="004414A7"/>
    <w:rsid w:val="00442FCC"/>
    <w:rsid w:val="00457532"/>
    <w:rsid w:val="00460B53"/>
    <w:rsid w:val="004643F7"/>
    <w:rsid w:val="0046516C"/>
    <w:rsid w:val="00472275"/>
    <w:rsid w:val="004779B0"/>
    <w:rsid w:val="004817F2"/>
    <w:rsid w:val="0048675F"/>
    <w:rsid w:val="00491F11"/>
    <w:rsid w:val="00493DFF"/>
    <w:rsid w:val="00493FD8"/>
    <w:rsid w:val="00497CF0"/>
    <w:rsid w:val="004A1E01"/>
    <w:rsid w:val="004A2105"/>
    <w:rsid w:val="004B113F"/>
    <w:rsid w:val="004C10D5"/>
    <w:rsid w:val="004C6EA8"/>
    <w:rsid w:val="004D2EC9"/>
    <w:rsid w:val="004E6750"/>
    <w:rsid w:val="004F461A"/>
    <w:rsid w:val="004F4FBA"/>
    <w:rsid w:val="004F512C"/>
    <w:rsid w:val="004F64AA"/>
    <w:rsid w:val="004F71F0"/>
    <w:rsid w:val="0051013C"/>
    <w:rsid w:val="00525299"/>
    <w:rsid w:val="005264B0"/>
    <w:rsid w:val="0055074A"/>
    <w:rsid w:val="00554245"/>
    <w:rsid w:val="0056379A"/>
    <w:rsid w:val="00566BFB"/>
    <w:rsid w:val="00567363"/>
    <w:rsid w:val="00575F8C"/>
    <w:rsid w:val="005959E7"/>
    <w:rsid w:val="0059658B"/>
    <w:rsid w:val="005B58D8"/>
    <w:rsid w:val="005B75F4"/>
    <w:rsid w:val="005D4A3F"/>
    <w:rsid w:val="005D6C73"/>
    <w:rsid w:val="005D7AAD"/>
    <w:rsid w:val="005F1C8B"/>
    <w:rsid w:val="005F2D3D"/>
    <w:rsid w:val="005F3C1A"/>
    <w:rsid w:val="006014B1"/>
    <w:rsid w:val="00602A98"/>
    <w:rsid w:val="006047AD"/>
    <w:rsid w:val="00610BB2"/>
    <w:rsid w:val="00625D2B"/>
    <w:rsid w:val="006312DA"/>
    <w:rsid w:val="00634247"/>
    <w:rsid w:val="00642F28"/>
    <w:rsid w:val="00652190"/>
    <w:rsid w:val="00657823"/>
    <w:rsid w:val="006607CB"/>
    <w:rsid w:val="00661924"/>
    <w:rsid w:val="00672302"/>
    <w:rsid w:val="00686F38"/>
    <w:rsid w:val="006877ED"/>
    <w:rsid w:val="006B4366"/>
    <w:rsid w:val="006C228F"/>
    <w:rsid w:val="006C68C8"/>
    <w:rsid w:val="006E44BE"/>
    <w:rsid w:val="006E7189"/>
    <w:rsid w:val="006F6090"/>
    <w:rsid w:val="006F6093"/>
    <w:rsid w:val="00700964"/>
    <w:rsid w:val="00700B45"/>
    <w:rsid w:val="00701D24"/>
    <w:rsid w:val="00710D48"/>
    <w:rsid w:val="00715B58"/>
    <w:rsid w:val="00722627"/>
    <w:rsid w:val="00724179"/>
    <w:rsid w:val="00727768"/>
    <w:rsid w:val="00730705"/>
    <w:rsid w:val="00742198"/>
    <w:rsid w:val="0075620D"/>
    <w:rsid w:val="007652E0"/>
    <w:rsid w:val="007753A2"/>
    <w:rsid w:val="007809AB"/>
    <w:rsid w:val="00783709"/>
    <w:rsid w:val="00787E84"/>
    <w:rsid w:val="007D6601"/>
    <w:rsid w:val="007E22D1"/>
    <w:rsid w:val="007F3935"/>
    <w:rsid w:val="00806491"/>
    <w:rsid w:val="00814581"/>
    <w:rsid w:val="0082209E"/>
    <w:rsid w:val="008244FF"/>
    <w:rsid w:val="008350BC"/>
    <w:rsid w:val="00843C41"/>
    <w:rsid w:val="008449B5"/>
    <w:rsid w:val="00862593"/>
    <w:rsid w:val="0086314D"/>
    <w:rsid w:val="008733F0"/>
    <w:rsid w:val="00875634"/>
    <w:rsid w:val="00886BE2"/>
    <w:rsid w:val="00891AD3"/>
    <w:rsid w:val="00892756"/>
    <w:rsid w:val="008B23F6"/>
    <w:rsid w:val="008B3E66"/>
    <w:rsid w:val="008C54A7"/>
    <w:rsid w:val="008C7B21"/>
    <w:rsid w:val="008D3261"/>
    <w:rsid w:val="008E0B61"/>
    <w:rsid w:val="008E2751"/>
    <w:rsid w:val="008E4DFD"/>
    <w:rsid w:val="008E6C72"/>
    <w:rsid w:val="008F65AD"/>
    <w:rsid w:val="0090788B"/>
    <w:rsid w:val="009114B0"/>
    <w:rsid w:val="00916052"/>
    <w:rsid w:val="009262D1"/>
    <w:rsid w:val="009279DA"/>
    <w:rsid w:val="009310A6"/>
    <w:rsid w:val="00932BAD"/>
    <w:rsid w:val="0093538F"/>
    <w:rsid w:val="009432C1"/>
    <w:rsid w:val="00943B6F"/>
    <w:rsid w:val="00946C79"/>
    <w:rsid w:val="009547EF"/>
    <w:rsid w:val="00960C0C"/>
    <w:rsid w:val="00961776"/>
    <w:rsid w:val="0096374C"/>
    <w:rsid w:val="00970B06"/>
    <w:rsid w:val="00984564"/>
    <w:rsid w:val="00984742"/>
    <w:rsid w:val="009D0016"/>
    <w:rsid w:val="009D0D42"/>
    <w:rsid w:val="009D471F"/>
    <w:rsid w:val="009D6F03"/>
    <w:rsid w:val="009E179D"/>
    <w:rsid w:val="009E1B23"/>
    <w:rsid w:val="009E2895"/>
    <w:rsid w:val="009E358E"/>
    <w:rsid w:val="009E39FE"/>
    <w:rsid w:val="009E3D79"/>
    <w:rsid w:val="009E59BF"/>
    <w:rsid w:val="009F04C4"/>
    <w:rsid w:val="00A03F6D"/>
    <w:rsid w:val="00A127D1"/>
    <w:rsid w:val="00A179EC"/>
    <w:rsid w:val="00A2202E"/>
    <w:rsid w:val="00A51663"/>
    <w:rsid w:val="00A67C60"/>
    <w:rsid w:val="00A700BF"/>
    <w:rsid w:val="00A82403"/>
    <w:rsid w:val="00A8537D"/>
    <w:rsid w:val="00AA00FA"/>
    <w:rsid w:val="00AA79C4"/>
    <w:rsid w:val="00AC00E0"/>
    <w:rsid w:val="00AC1C7D"/>
    <w:rsid w:val="00AC2DFA"/>
    <w:rsid w:val="00AC4285"/>
    <w:rsid w:val="00AC5A9C"/>
    <w:rsid w:val="00AD22DB"/>
    <w:rsid w:val="00AF0A78"/>
    <w:rsid w:val="00AF0F1D"/>
    <w:rsid w:val="00AF1093"/>
    <w:rsid w:val="00AF121E"/>
    <w:rsid w:val="00AF3C3A"/>
    <w:rsid w:val="00AF4BE4"/>
    <w:rsid w:val="00AF537A"/>
    <w:rsid w:val="00B000BD"/>
    <w:rsid w:val="00B077A4"/>
    <w:rsid w:val="00B10B5A"/>
    <w:rsid w:val="00B13993"/>
    <w:rsid w:val="00B301BF"/>
    <w:rsid w:val="00B34D38"/>
    <w:rsid w:val="00B40308"/>
    <w:rsid w:val="00B50316"/>
    <w:rsid w:val="00B548DE"/>
    <w:rsid w:val="00B61065"/>
    <w:rsid w:val="00B62BEE"/>
    <w:rsid w:val="00B71EB3"/>
    <w:rsid w:val="00B72163"/>
    <w:rsid w:val="00B777DD"/>
    <w:rsid w:val="00B87E2B"/>
    <w:rsid w:val="00BA3533"/>
    <w:rsid w:val="00BB2A05"/>
    <w:rsid w:val="00BB63B8"/>
    <w:rsid w:val="00BB7CBC"/>
    <w:rsid w:val="00BC2803"/>
    <w:rsid w:val="00BC4657"/>
    <w:rsid w:val="00BD075E"/>
    <w:rsid w:val="00BD22B4"/>
    <w:rsid w:val="00BD707E"/>
    <w:rsid w:val="00BF542B"/>
    <w:rsid w:val="00C00BA3"/>
    <w:rsid w:val="00C053F1"/>
    <w:rsid w:val="00C2116C"/>
    <w:rsid w:val="00C26DEC"/>
    <w:rsid w:val="00C31B43"/>
    <w:rsid w:val="00C35B7A"/>
    <w:rsid w:val="00C44DF6"/>
    <w:rsid w:val="00C468B3"/>
    <w:rsid w:val="00C54F11"/>
    <w:rsid w:val="00C61682"/>
    <w:rsid w:val="00C7334A"/>
    <w:rsid w:val="00C855E9"/>
    <w:rsid w:val="00C90CBA"/>
    <w:rsid w:val="00C92310"/>
    <w:rsid w:val="00CA3E44"/>
    <w:rsid w:val="00CA488C"/>
    <w:rsid w:val="00CA49C5"/>
    <w:rsid w:val="00CB0CA1"/>
    <w:rsid w:val="00CB78F5"/>
    <w:rsid w:val="00CC1671"/>
    <w:rsid w:val="00CC6E7B"/>
    <w:rsid w:val="00CD2054"/>
    <w:rsid w:val="00CD5640"/>
    <w:rsid w:val="00CE23EA"/>
    <w:rsid w:val="00CE39C9"/>
    <w:rsid w:val="00CE4509"/>
    <w:rsid w:val="00CF7BDA"/>
    <w:rsid w:val="00D04E5C"/>
    <w:rsid w:val="00D05FA1"/>
    <w:rsid w:val="00D21BA2"/>
    <w:rsid w:val="00D225AF"/>
    <w:rsid w:val="00D24E0E"/>
    <w:rsid w:val="00D25B1C"/>
    <w:rsid w:val="00D32A85"/>
    <w:rsid w:val="00D45A7D"/>
    <w:rsid w:val="00D5306C"/>
    <w:rsid w:val="00D60C72"/>
    <w:rsid w:val="00D636A7"/>
    <w:rsid w:val="00D65F75"/>
    <w:rsid w:val="00D81DE8"/>
    <w:rsid w:val="00D957FC"/>
    <w:rsid w:val="00D9602C"/>
    <w:rsid w:val="00DA444E"/>
    <w:rsid w:val="00DA6F28"/>
    <w:rsid w:val="00DB3FC0"/>
    <w:rsid w:val="00DB7A77"/>
    <w:rsid w:val="00DD1A46"/>
    <w:rsid w:val="00DD6AF4"/>
    <w:rsid w:val="00DE68E3"/>
    <w:rsid w:val="00E02F39"/>
    <w:rsid w:val="00E05091"/>
    <w:rsid w:val="00E1034A"/>
    <w:rsid w:val="00E22FF8"/>
    <w:rsid w:val="00E25A87"/>
    <w:rsid w:val="00E27C25"/>
    <w:rsid w:val="00E27C57"/>
    <w:rsid w:val="00E32A5A"/>
    <w:rsid w:val="00E47250"/>
    <w:rsid w:val="00E65A8B"/>
    <w:rsid w:val="00E716BD"/>
    <w:rsid w:val="00E72368"/>
    <w:rsid w:val="00E80322"/>
    <w:rsid w:val="00E9100B"/>
    <w:rsid w:val="00E92400"/>
    <w:rsid w:val="00EC538C"/>
    <w:rsid w:val="00EC7DD7"/>
    <w:rsid w:val="00ED362E"/>
    <w:rsid w:val="00ED47DF"/>
    <w:rsid w:val="00ED5F29"/>
    <w:rsid w:val="00EE2BB2"/>
    <w:rsid w:val="00EF1BF0"/>
    <w:rsid w:val="00EF4544"/>
    <w:rsid w:val="00F044B6"/>
    <w:rsid w:val="00F2167A"/>
    <w:rsid w:val="00F25AAA"/>
    <w:rsid w:val="00F312CE"/>
    <w:rsid w:val="00F34FAE"/>
    <w:rsid w:val="00F36436"/>
    <w:rsid w:val="00F36A29"/>
    <w:rsid w:val="00F40A1A"/>
    <w:rsid w:val="00F40C99"/>
    <w:rsid w:val="00F43ABC"/>
    <w:rsid w:val="00F526FF"/>
    <w:rsid w:val="00F5791A"/>
    <w:rsid w:val="00F70B75"/>
    <w:rsid w:val="00F7233D"/>
    <w:rsid w:val="00F72BB0"/>
    <w:rsid w:val="00F75D8D"/>
    <w:rsid w:val="00F8023A"/>
    <w:rsid w:val="00F8152F"/>
    <w:rsid w:val="00F901C5"/>
    <w:rsid w:val="00FA0A07"/>
    <w:rsid w:val="00FB04A6"/>
    <w:rsid w:val="00FB344E"/>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paragraph" w:styleId="Textocomentario">
    <w:name w:val="annotation text"/>
    <w:basedOn w:val="Normal"/>
    <w:link w:val="TextocomentarioCar"/>
    <w:uiPriority w:val="99"/>
    <w:semiHidden/>
    <w:unhideWhenUsed/>
    <w:rsid w:val="00BA3533"/>
    <w:pPr>
      <w:spacing w:after="160"/>
    </w:pPr>
    <w:rPr>
      <w:sz w:val="20"/>
      <w:szCs w:val="20"/>
      <w:lang w:val="es-MX"/>
    </w:rPr>
  </w:style>
  <w:style w:type="character" w:customStyle="1" w:styleId="TextocomentarioCar">
    <w:name w:val="Texto comentario Car"/>
    <w:basedOn w:val="Fuentedeprrafopredeter"/>
    <w:link w:val="Textocomentario"/>
    <w:uiPriority w:val="99"/>
    <w:semiHidden/>
    <w:rsid w:val="00BA3533"/>
    <w:rPr>
      <w:sz w:val="20"/>
      <w:szCs w:val="20"/>
    </w:rPr>
  </w:style>
  <w:style w:type="numbering" w:customStyle="1" w:styleId="Estiloimportado8">
    <w:name w:val="Estilo importado 8"/>
    <w:rsid w:val="00493FD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2459">
      <w:bodyDiv w:val="1"/>
      <w:marLeft w:val="0"/>
      <w:marRight w:val="0"/>
      <w:marTop w:val="0"/>
      <w:marBottom w:val="0"/>
      <w:divBdr>
        <w:top w:val="none" w:sz="0" w:space="0" w:color="auto"/>
        <w:left w:val="none" w:sz="0" w:space="0" w:color="auto"/>
        <w:bottom w:val="none" w:sz="0" w:space="0" w:color="auto"/>
        <w:right w:val="none" w:sz="0" w:space="0" w:color="auto"/>
      </w:divBdr>
      <w:divsChild>
        <w:div w:id="443765564">
          <w:marLeft w:val="300"/>
          <w:marRight w:val="0"/>
          <w:marTop w:val="0"/>
          <w:marBottom w:val="0"/>
          <w:divBdr>
            <w:top w:val="none" w:sz="0" w:space="0" w:color="auto"/>
            <w:left w:val="none" w:sz="0" w:space="0" w:color="auto"/>
            <w:bottom w:val="none" w:sz="0" w:space="0" w:color="auto"/>
            <w:right w:val="none" w:sz="0" w:space="0" w:color="auto"/>
          </w:divBdr>
        </w:div>
      </w:divsChild>
    </w:div>
    <w:div w:id="187527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15</Pages>
  <Words>3279</Words>
  <Characters>18036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124</cp:revision>
  <cp:lastPrinted>2022-12-12T20:03:00Z</cp:lastPrinted>
  <dcterms:created xsi:type="dcterms:W3CDTF">2022-01-24T17:53:00Z</dcterms:created>
  <dcterms:modified xsi:type="dcterms:W3CDTF">2023-05-10T20:20:00Z</dcterms:modified>
</cp:coreProperties>
</file>